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0B88" w:rsidRDefault="009B2996">
      <w:pPr>
        <w:spacing w:line="276" w:lineRule="auto"/>
        <w:jc w:val="both"/>
      </w:pPr>
      <w:r>
        <w:rPr>
          <w:noProof/>
          <w:lang w:val="es-419"/>
        </w:rPr>
        <mc:AlternateContent>
          <mc:Choice Requires="wps">
            <w:drawing>
              <wp:anchor distT="0" distB="0" distL="114300" distR="114300" simplePos="0" relativeHeight="251659264" behindDoc="0" locked="0" layoutInCell="1" allowOverlap="1">
                <wp:simplePos x="0" y="0"/>
                <wp:positionH relativeFrom="column">
                  <wp:posOffset>3634105</wp:posOffset>
                </wp:positionH>
                <wp:positionV relativeFrom="paragraph">
                  <wp:posOffset>-10795</wp:posOffset>
                </wp:positionV>
                <wp:extent cx="2419350" cy="571500"/>
                <wp:effectExtent l="0" t="0" r="19050" b="19050"/>
                <wp:wrapNone/>
                <wp:docPr id="1" name="Cuadro de texto 1"/>
                <wp:cNvGraphicFramePr/>
                <a:graphic xmlns:a="http://schemas.openxmlformats.org/drawingml/2006/main">
                  <a:graphicData uri="http://schemas.microsoft.com/office/word/2010/wordprocessingShape">
                    <wps:wsp>
                      <wps:cNvSpPr txBox="1"/>
                      <wps:spPr>
                        <a:xfrm>
                          <a:off x="0" y="0"/>
                          <a:ext cx="2419350" cy="571500"/>
                        </a:xfrm>
                        <a:prstGeom prst="rect">
                          <a:avLst/>
                        </a:prstGeom>
                        <a:solidFill>
                          <a:schemeClr val="lt1"/>
                        </a:solidFill>
                        <a:ln w="6350">
                          <a:solidFill>
                            <a:prstClr val="black"/>
                          </a:solidFill>
                        </a:ln>
                      </wps:spPr>
                      <wps:txbx>
                        <w:txbxContent>
                          <w:p w:rsidR="009B2996" w:rsidRDefault="009B2996" w:rsidP="009B2996">
                            <w:pPr>
                              <w:autoSpaceDE w:val="0"/>
                              <w:autoSpaceDN w:val="0"/>
                              <w:adjustRightInd w:val="0"/>
                              <w:rPr>
                                <w:b/>
                                <w:bCs/>
                                <w:sz w:val="14"/>
                                <w:szCs w:val="14"/>
                                <w:lang w:val="es-419"/>
                              </w:rPr>
                            </w:pPr>
                            <w:r>
                              <w:rPr>
                                <w:b/>
                                <w:bCs/>
                                <w:sz w:val="14"/>
                                <w:szCs w:val="14"/>
                                <w:lang w:val="es-419"/>
                              </w:rPr>
                              <w:t>CONCEJO DE BOGOTA 28-02-2025 04:55:00</w:t>
                            </w:r>
                          </w:p>
                          <w:p w:rsidR="009B2996" w:rsidRDefault="009B2996" w:rsidP="009B2996">
                            <w:pPr>
                              <w:autoSpaceDE w:val="0"/>
                              <w:autoSpaceDN w:val="0"/>
                              <w:adjustRightInd w:val="0"/>
                              <w:rPr>
                                <w:b/>
                                <w:bCs/>
                                <w:sz w:val="12"/>
                                <w:szCs w:val="12"/>
                                <w:lang w:val="es-419"/>
                              </w:rPr>
                            </w:pPr>
                            <w:r>
                              <w:rPr>
                                <w:b/>
                                <w:bCs/>
                                <w:sz w:val="12"/>
                                <w:szCs w:val="12"/>
                                <w:lang w:val="es-419"/>
                              </w:rPr>
                              <w:t>Al Contestar Cite Este Nr.:2025IE6845 O 1 Fol:1 Anex:0</w:t>
                            </w:r>
                          </w:p>
                          <w:p w:rsidR="009B2996" w:rsidRDefault="009B2996" w:rsidP="009B2996">
                            <w:pPr>
                              <w:autoSpaceDE w:val="0"/>
                              <w:autoSpaceDN w:val="0"/>
                              <w:adjustRightInd w:val="0"/>
                              <w:rPr>
                                <w:b/>
                                <w:bCs/>
                                <w:sz w:val="12"/>
                                <w:szCs w:val="12"/>
                                <w:lang w:val="es-419"/>
                              </w:rPr>
                            </w:pPr>
                            <w:r>
                              <w:rPr>
                                <w:b/>
                                <w:bCs/>
                                <w:sz w:val="12"/>
                                <w:szCs w:val="12"/>
                                <w:lang w:val="es-419"/>
                              </w:rPr>
                              <w:t>451 OFICINA 451/BEDOYA PIRAQUIVE SAMIR</w:t>
                            </w:r>
                          </w:p>
                          <w:p w:rsidR="009B2996" w:rsidRDefault="009B2996" w:rsidP="009B2996">
                            <w:pPr>
                              <w:autoSpaceDE w:val="0"/>
                              <w:autoSpaceDN w:val="0"/>
                              <w:adjustRightInd w:val="0"/>
                              <w:rPr>
                                <w:b/>
                                <w:bCs/>
                                <w:sz w:val="12"/>
                                <w:szCs w:val="12"/>
                                <w:lang w:val="es-419"/>
                              </w:rPr>
                            </w:pPr>
                            <w:r>
                              <w:rPr>
                                <w:b/>
                                <w:bCs/>
                                <w:sz w:val="12"/>
                                <w:szCs w:val="12"/>
                                <w:lang w:val="es-419"/>
                              </w:rPr>
                              <w:t>COMISION 2ª PERM. GOBIERNO/GARZON FANDIÑO DAVID A</w:t>
                            </w:r>
                          </w:p>
                          <w:p w:rsidR="009B2996" w:rsidRDefault="009B2996" w:rsidP="009B2996">
                            <w:r>
                              <w:rPr>
                                <w:b/>
                                <w:bCs/>
                                <w:sz w:val="12"/>
                                <w:szCs w:val="12"/>
                                <w:lang w:val="es-419"/>
                              </w:rPr>
                              <w:t>PONENCIA CONJUNTA AL P.A 240 DE 2025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1" o:spid="_x0000_s1026" type="#_x0000_t202" style="position:absolute;left:0;text-align:left;margin-left:286.15pt;margin-top:-.85pt;width:190.5pt;height:4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" fillcolor="white [3201]" strokeweight=".5pt">
                <v:textbox>
                  <w:txbxContent>
                    <w:p w:rsidR="009B2996" w:rsidRDefault="009B2996" w:rsidP="009B2996">
                      <w:pPr>
                        <w:autoSpaceDE w:val="0"/>
                        <w:autoSpaceDN w:val="0"/>
                        <w:adjustRightInd w:val="0"/>
                        <w:rPr>
                          <w:b/>
                          <w:bCs/>
                          <w:sz w:val="14"/>
                          <w:szCs w:val="14"/>
                          <w:lang w:val="es-419"/>
                        </w:rPr>
                      </w:pPr>
                      <w:r>
                        <w:rPr>
                          <w:b/>
                          <w:bCs/>
                          <w:sz w:val="14"/>
                          <w:szCs w:val="14"/>
                          <w:lang w:val="es-419"/>
                        </w:rPr>
                        <w:t>CONCEJO DE BOGOTA 28-02-2025 04:55:00</w:t>
                      </w:r>
                    </w:p>
                    <w:p w:rsidR="009B2996" w:rsidRDefault="009B2996" w:rsidP="009B2996">
                      <w:pPr>
                        <w:autoSpaceDE w:val="0"/>
                        <w:autoSpaceDN w:val="0"/>
                        <w:adjustRightInd w:val="0"/>
                        <w:rPr>
                          <w:b/>
                          <w:bCs/>
                          <w:sz w:val="12"/>
                          <w:szCs w:val="12"/>
                          <w:lang w:val="es-419"/>
                        </w:rPr>
                      </w:pPr>
                      <w:r>
                        <w:rPr>
                          <w:b/>
                          <w:bCs/>
                          <w:sz w:val="12"/>
                          <w:szCs w:val="12"/>
                          <w:lang w:val="es-419"/>
                        </w:rPr>
                        <w:t>Al Contestar Cite Este Nr.:2025IE6845 O 1 Fol:1 Anex:0</w:t>
                      </w:r>
                    </w:p>
                    <w:p w:rsidR="009B2996" w:rsidRDefault="009B2996" w:rsidP="009B2996">
                      <w:pPr>
                        <w:autoSpaceDE w:val="0"/>
                        <w:autoSpaceDN w:val="0"/>
                        <w:adjustRightInd w:val="0"/>
                        <w:rPr>
                          <w:b/>
                          <w:bCs/>
                          <w:sz w:val="12"/>
                          <w:szCs w:val="12"/>
                          <w:lang w:val="es-419"/>
                        </w:rPr>
                      </w:pPr>
                      <w:r>
                        <w:rPr>
                          <w:b/>
                          <w:bCs/>
                          <w:sz w:val="12"/>
                          <w:szCs w:val="12"/>
                          <w:lang w:val="es-419"/>
                        </w:rPr>
                        <w:t>451 OFICINA 451/BEDOYA PIRAQUIVE SAMIR</w:t>
                      </w:r>
                    </w:p>
                    <w:p w:rsidR="009B2996" w:rsidRDefault="009B2996" w:rsidP="009B2996">
                      <w:pPr>
                        <w:autoSpaceDE w:val="0"/>
                        <w:autoSpaceDN w:val="0"/>
                        <w:adjustRightInd w:val="0"/>
                        <w:rPr>
                          <w:b/>
                          <w:bCs/>
                          <w:sz w:val="12"/>
                          <w:szCs w:val="12"/>
                          <w:lang w:val="es-419"/>
                        </w:rPr>
                      </w:pPr>
                      <w:r>
                        <w:rPr>
                          <w:b/>
                          <w:bCs/>
                          <w:sz w:val="12"/>
                          <w:szCs w:val="12"/>
                          <w:lang w:val="es-419"/>
                        </w:rPr>
                        <w:t>COMISION 2ª PERM. GOBIERNO/GARZON FANDIÑO DAVID A</w:t>
                      </w:r>
                    </w:p>
                    <w:p w:rsidR="009B2996" w:rsidRDefault="009B2996" w:rsidP="009B2996">
                      <w:r>
                        <w:rPr>
                          <w:b/>
                          <w:bCs/>
                          <w:sz w:val="12"/>
                          <w:szCs w:val="12"/>
                          <w:lang w:val="es-419"/>
                        </w:rPr>
                        <w:t>PONENCIA CONJUNTA AL P.A 240 DE 2025</w:t>
                      </w:r>
                    </w:p>
                  </w:txbxContent>
                </v:textbox>
              </v:shape>
            </w:pict>
          </mc:Fallback>
        </mc:AlternateContent>
      </w:r>
    </w:p>
    <w:p w:rsidR="009F0B88" w:rsidRDefault="00B90476">
      <w:pPr>
        <w:spacing w:line="276" w:lineRule="auto"/>
        <w:jc w:val="both"/>
        <w:rPr>
          <w:rFonts w:ascii="Arial Narrow" w:eastAsia="Arial Narrow" w:hAnsi="Arial Narrow" w:cs="Arial Narrow"/>
        </w:rPr>
      </w:pPr>
      <w:r>
        <w:rPr>
          <w:rFonts w:ascii="Arial Narrow" w:eastAsia="Arial Narrow" w:hAnsi="Arial Narrow" w:cs="Arial Narrow"/>
        </w:rPr>
        <w:t>Doctor</w:t>
      </w:r>
    </w:p>
    <w:p w:rsidR="009F0B88" w:rsidRDefault="00B90476">
      <w:pPr>
        <w:spacing w:line="276" w:lineRule="auto"/>
        <w:jc w:val="both"/>
        <w:rPr>
          <w:rFonts w:ascii="Arial Narrow" w:eastAsia="Arial Narrow" w:hAnsi="Arial Narrow" w:cs="Arial Narrow"/>
          <w:b/>
        </w:rPr>
      </w:pPr>
      <w:r>
        <w:rPr>
          <w:rFonts w:ascii="Arial Narrow" w:eastAsia="Arial Narrow" w:hAnsi="Arial Narrow" w:cs="Arial Narrow"/>
          <w:b/>
        </w:rPr>
        <w:t>DAVID GARZÓN FANDIÑO</w:t>
      </w:r>
    </w:p>
    <w:p w:rsidR="009F0B88" w:rsidRDefault="00B90476">
      <w:pPr>
        <w:spacing w:line="276" w:lineRule="auto"/>
        <w:jc w:val="both"/>
        <w:rPr>
          <w:rFonts w:ascii="Arial Narrow" w:eastAsia="Arial Narrow" w:hAnsi="Arial Narrow" w:cs="Arial Narrow"/>
        </w:rPr>
      </w:pPr>
      <w:r>
        <w:rPr>
          <w:rFonts w:ascii="Arial Narrow" w:eastAsia="Arial Narrow" w:hAnsi="Arial Narrow" w:cs="Arial Narrow"/>
        </w:rPr>
        <w:t>Subsecretario</w:t>
      </w:r>
    </w:p>
    <w:p w:rsidR="009F0B88" w:rsidRDefault="00B90476">
      <w:pPr>
        <w:spacing w:line="276" w:lineRule="auto"/>
        <w:jc w:val="both"/>
        <w:rPr>
          <w:rFonts w:ascii="Arial Narrow" w:eastAsia="Arial Narrow" w:hAnsi="Arial Narrow" w:cs="Arial Narrow"/>
        </w:rPr>
      </w:pPr>
      <w:r>
        <w:rPr>
          <w:rFonts w:ascii="Arial Narrow" w:eastAsia="Arial Narrow" w:hAnsi="Arial Narrow" w:cs="Arial Narrow"/>
        </w:rPr>
        <w:t>Comisión Segunda Permanente de Gobierno</w:t>
      </w:r>
      <w:bookmarkStart w:id="0" w:name="_GoBack"/>
      <w:bookmarkEnd w:id="0"/>
    </w:p>
    <w:p w:rsidR="009F0B88" w:rsidRDefault="00B90476">
      <w:pPr>
        <w:spacing w:line="276" w:lineRule="auto"/>
        <w:jc w:val="both"/>
        <w:rPr>
          <w:rFonts w:ascii="Arial Narrow" w:eastAsia="Arial Narrow" w:hAnsi="Arial Narrow" w:cs="Arial Narrow"/>
        </w:rPr>
      </w:pPr>
      <w:r>
        <w:rPr>
          <w:rFonts w:ascii="Arial Narrow" w:eastAsia="Arial Narrow" w:hAnsi="Arial Narrow" w:cs="Arial Narrow"/>
        </w:rPr>
        <w:t>Concejo de Bogotá</w:t>
      </w:r>
    </w:p>
    <w:p w:rsidR="009F0B88" w:rsidRDefault="00B90476">
      <w:pPr>
        <w:spacing w:line="276" w:lineRule="auto"/>
        <w:jc w:val="both"/>
        <w:rPr>
          <w:rFonts w:ascii="Arial Narrow" w:eastAsia="Arial Narrow" w:hAnsi="Arial Narrow" w:cs="Arial Narrow"/>
        </w:rPr>
      </w:pPr>
      <w:r>
        <w:rPr>
          <w:rFonts w:ascii="Arial Narrow" w:eastAsia="Arial Narrow" w:hAnsi="Arial Narrow" w:cs="Arial Narrow"/>
        </w:rPr>
        <w:t>Bogotá D.C.</w:t>
      </w:r>
    </w:p>
    <w:p w:rsidR="009F0B88" w:rsidRDefault="009F0B88">
      <w:pPr>
        <w:spacing w:line="276" w:lineRule="auto"/>
        <w:jc w:val="both"/>
        <w:rPr>
          <w:rFonts w:ascii="Arial Narrow" w:eastAsia="Arial Narrow" w:hAnsi="Arial Narrow" w:cs="Arial Narrow"/>
        </w:rPr>
      </w:pPr>
    </w:p>
    <w:p w:rsidR="009F0B88" w:rsidRDefault="009F0B88">
      <w:pPr>
        <w:spacing w:line="276" w:lineRule="auto"/>
        <w:jc w:val="both"/>
        <w:rPr>
          <w:rFonts w:ascii="Arial Narrow" w:eastAsia="Arial Narrow" w:hAnsi="Arial Narrow" w:cs="Arial Narrow"/>
        </w:rPr>
      </w:pPr>
    </w:p>
    <w:p w:rsidR="009F0B88" w:rsidRDefault="00B90476">
      <w:pPr>
        <w:spacing w:line="276" w:lineRule="auto"/>
        <w:jc w:val="right"/>
        <w:rPr>
          <w:rFonts w:ascii="Arial Narrow" w:eastAsia="Arial Narrow" w:hAnsi="Arial Narrow" w:cs="Arial Narrow"/>
        </w:rPr>
      </w:pPr>
      <w:r>
        <w:rPr>
          <w:rFonts w:ascii="Arial Narrow" w:eastAsia="Arial Narrow" w:hAnsi="Arial Narrow" w:cs="Arial Narrow"/>
          <w:b/>
        </w:rPr>
        <w:t>Asunto:</w:t>
      </w:r>
      <w:r>
        <w:rPr>
          <w:rFonts w:ascii="Arial Narrow" w:eastAsia="Arial Narrow" w:hAnsi="Arial Narrow" w:cs="Arial Narrow"/>
        </w:rPr>
        <w:t xml:space="preserve"> Presentación ponencia Proyecto de Acuerdo 240 de 2025</w:t>
      </w:r>
      <w:r>
        <w:rPr>
          <w:rFonts w:ascii="Arial Narrow" w:eastAsia="Arial Narrow" w:hAnsi="Arial Narrow" w:cs="Arial Narrow"/>
          <w:vertAlign w:val="superscript"/>
        </w:rPr>
        <w:footnoteReference w:id="1"/>
      </w:r>
      <w:r>
        <w:rPr>
          <w:rFonts w:ascii="Arial Narrow" w:eastAsia="Arial Narrow" w:hAnsi="Arial Narrow" w:cs="Arial Narrow"/>
        </w:rPr>
        <w:t>.</w:t>
      </w:r>
    </w:p>
    <w:p w:rsidR="009F0B88" w:rsidRDefault="009F0B88">
      <w:pPr>
        <w:spacing w:line="276" w:lineRule="auto"/>
        <w:jc w:val="both"/>
        <w:rPr>
          <w:rFonts w:ascii="Arial Narrow" w:eastAsia="Arial Narrow" w:hAnsi="Arial Narrow" w:cs="Arial Narrow"/>
        </w:rPr>
      </w:pPr>
    </w:p>
    <w:p w:rsidR="009F0B88" w:rsidRDefault="009F0B88">
      <w:pPr>
        <w:spacing w:line="276" w:lineRule="auto"/>
        <w:jc w:val="both"/>
        <w:rPr>
          <w:rFonts w:ascii="Arial Narrow" w:eastAsia="Arial Narrow" w:hAnsi="Arial Narrow" w:cs="Arial Narrow"/>
        </w:rPr>
      </w:pPr>
    </w:p>
    <w:p w:rsidR="009F0B88" w:rsidRDefault="00B90476">
      <w:pPr>
        <w:spacing w:line="276" w:lineRule="auto"/>
        <w:jc w:val="both"/>
        <w:rPr>
          <w:rFonts w:ascii="Arial Narrow" w:eastAsia="Arial Narrow" w:hAnsi="Arial Narrow" w:cs="Arial Narrow"/>
        </w:rPr>
      </w:pPr>
      <w:r>
        <w:rPr>
          <w:rFonts w:ascii="Arial Narrow" w:eastAsia="Arial Narrow" w:hAnsi="Arial Narrow" w:cs="Arial Narrow"/>
        </w:rPr>
        <w:t>Respetado doctor Garzón, cordial saludo.</w:t>
      </w:r>
    </w:p>
    <w:p w:rsidR="009F0B88" w:rsidRDefault="009F0B88">
      <w:pPr>
        <w:spacing w:line="276" w:lineRule="auto"/>
        <w:jc w:val="both"/>
        <w:rPr>
          <w:rFonts w:ascii="Arial Narrow" w:eastAsia="Arial Narrow" w:hAnsi="Arial Narrow" w:cs="Arial Narrow"/>
        </w:rPr>
      </w:pPr>
    </w:p>
    <w:p w:rsidR="009F0B88" w:rsidRDefault="009F0B88">
      <w:pPr>
        <w:spacing w:line="276" w:lineRule="auto"/>
        <w:jc w:val="both"/>
        <w:rPr>
          <w:rFonts w:ascii="Arial Narrow" w:eastAsia="Arial Narrow" w:hAnsi="Arial Narrow" w:cs="Arial Narrow"/>
        </w:rPr>
      </w:pPr>
    </w:p>
    <w:p w:rsidR="009F0B88" w:rsidRDefault="00B90476">
      <w:pPr>
        <w:spacing w:line="276" w:lineRule="auto"/>
        <w:jc w:val="both"/>
        <w:rPr>
          <w:rFonts w:ascii="Arial Narrow" w:eastAsia="Arial Narrow" w:hAnsi="Arial Narrow" w:cs="Arial Narrow"/>
        </w:rPr>
      </w:pPr>
      <w:r>
        <w:rPr>
          <w:rFonts w:ascii="Arial Narrow" w:eastAsia="Arial Narrow" w:hAnsi="Arial Narrow" w:cs="Arial Narrow"/>
        </w:rPr>
        <w:t xml:space="preserve">Por designación efectuada mediante oficio No. 2025IE3038 del 10 de febrero de 2025, por parte del secretario general de la corporación, y encontrándome dentro del término reglamentario establecido en el artículo 71 del Acuerdo 741 de 2019 modificado por el acuerdo 837 de 2022, rendimos </w:t>
      </w:r>
      <w:r>
        <w:rPr>
          <w:rFonts w:ascii="Arial Narrow" w:eastAsia="Arial Narrow" w:hAnsi="Arial Narrow" w:cs="Arial Narrow"/>
          <w:b/>
        </w:rPr>
        <w:t>PONENCIA POSITIVA CON MODIFICACIONES</w:t>
      </w:r>
      <w:r>
        <w:rPr>
          <w:rFonts w:ascii="Arial Narrow" w:eastAsia="Arial Narrow" w:hAnsi="Arial Narrow" w:cs="Arial Narrow"/>
        </w:rPr>
        <w:t xml:space="preserve"> para el primer debate del proyecto de acuerdo No 240 de 2025, teniendo en cuenta las consideraciones de orden legal y fáctico que son expuestas a continuación.</w:t>
      </w:r>
    </w:p>
    <w:p w:rsidR="009F0B88" w:rsidRDefault="009F0B88">
      <w:pPr>
        <w:spacing w:line="276" w:lineRule="auto"/>
        <w:jc w:val="both"/>
        <w:rPr>
          <w:rFonts w:ascii="Arial Narrow" w:eastAsia="Arial Narrow" w:hAnsi="Arial Narrow" w:cs="Arial Narrow"/>
        </w:rPr>
      </w:pPr>
    </w:p>
    <w:p w:rsidR="009F0B88" w:rsidRDefault="009F0B88">
      <w:pPr>
        <w:spacing w:line="276" w:lineRule="auto"/>
        <w:jc w:val="both"/>
        <w:rPr>
          <w:rFonts w:ascii="Arial Narrow" w:eastAsia="Arial Narrow" w:hAnsi="Arial Narrow" w:cs="Arial Narrow"/>
        </w:rPr>
      </w:pPr>
    </w:p>
    <w:p w:rsidR="009F0B88" w:rsidRDefault="00B90476">
      <w:pPr>
        <w:spacing w:line="276" w:lineRule="auto"/>
        <w:jc w:val="both"/>
        <w:rPr>
          <w:rFonts w:ascii="Arial Narrow" w:eastAsia="Arial Narrow" w:hAnsi="Arial Narrow" w:cs="Arial Narrow"/>
        </w:rPr>
      </w:pPr>
      <w:r>
        <w:rPr>
          <w:rFonts w:ascii="Arial Narrow" w:eastAsia="Arial Narrow" w:hAnsi="Arial Narrow" w:cs="Arial Narrow"/>
        </w:rPr>
        <w:t>Cordialmente,</w:t>
      </w:r>
    </w:p>
    <w:p w:rsidR="009F0B88" w:rsidRDefault="009F0B88">
      <w:pPr>
        <w:spacing w:line="276" w:lineRule="auto"/>
        <w:jc w:val="both"/>
        <w:rPr>
          <w:rFonts w:ascii="Arial Narrow" w:eastAsia="Arial Narrow" w:hAnsi="Arial Narrow" w:cs="Arial Narrow"/>
        </w:rPr>
      </w:pPr>
    </w:p>
    <w:p w:rsidR="009F0B88" w:rsidRDefault="009F0B88">
      <w:pPr>
        <w:spacing w:line="276" w:lineRule="auto"/>
        <w:jc w:val="both"/>
        <w:rPr>
          <w:rFonts w:ascii="Arial Narrow" w:eastAsia="Arial Narrow" w:hAnsi="Arial Narrow" w:cs="Arial Narrow"/>
        </w:rPr>
      </w:pPr>
    </w:p>
    <w:p w:rsidR="009F0B88" w:rsidRDefault="009F0B88">
      <w:pPr>
        <w:spacing w:line="276" w:lineRule="auto"/>
        <w:jc w:val="both"/>
        <w:rPr>
          <w:rFonts w:ascii="Arial Narrow" w:eastAsia="Arial Narrow" w:hAnsi="Arial Narrow" w:cs="Arial Narrow"/>
        </w:rPr>
      </w:pPr>
    </w:p>
    <w:p w:rsidR="009F0B88" w:rsidRDefault="009F0B88">
      <w:pPr>
        <w:spacing w:line="276" w:lineRule="auto"/>
        <w:jc w:val="both"/>
        <w:rPr>
          <w:rFonts w:ascii="Arial Narrow" w:eastAsia="Arial Narrow" w:hAnsi="Arial Narrow" w:cs="Arial Narrow"/>
        </w:rPr>
      </w:pPr>
    </w:p>
    <w:p w:rsidR="009F0B88" w:rsidRDefault="00B90476">
      <w:pPr>
        <w:spacing w:line="276" w:lineRule="auto"/>
        <w:jc w:val="both"/>
        <w:rPr>
          <w:rFonts w:ascii="Arial Narrow" w:eastAsia="Arial Narrow" w:hAnsi="Arial Narrow" w:cs="Arial Narrow"/>
          <w:b/>
        </w:rPr>
      </w:pPr>
      <w:r>
        <w:rPr>
          <w:rFonts w:ascii="Arial Narrow" w:eastAsia="Arial Narrow" w:hAnsi="Arial Narrow" w:cs="Arial Narrow"/>
          <w:b/>
        </w:rPr>
        <w:t xml:space="preserve">FERNANDO LÓPEZ GUTIÉRREZ </w:t>
      </w:r>
      <w:r>
        <w:rPr>
          <w:rFonts w:ascii="Arial Narrow" w:eastAsia="Arial Narrow" w:hAnsi="Arial Narrow" w:cs="Arial Narrow"/>
          <w:b/>
        </w:rPr>
        <w:tab/>
      </w:r>
      <w:r>
        <w:rPr>
          <w:rFonts w:ascii="Arial Narrow" w:eastAsia="Arial Narrow" w:hAnsi="Arial Narrow" w:cs="Arial Narrow"/>
          <w:b/>
        </w:rPr>
        <w:tab/>
        <w:t xml:space="preserve">            SAMIR BEDOYA PIRAQUIVE</w:t>
      </w:r>
    </w:p>
    <w:p w:rsidR="009F0B88" w:rsidRDefault="00B90476">
      <w:pPr>
        <w:spacing w:line="276" w:lineRule="auto"/>
        <w:jc w:val="both"/>
        <w:rPr>
          <w:rFonts w:ascii="Arial Narrow" w:eastAsia="Arial Narrow" w:hAnsi="Arial Narrow" w:cs="Arial Narrow"/>
        </w:rPr>
      </w:pPr>
      <w:r>
        <w:rPr>
          <w:rFonts w:ascii="Arial Narrow" w:eastAsia="Arial Narrow" w:hAnsi="Arial Narrow" w:cs="Arial Narrow"/>
        </w:rPr>
        <w:t>Concejal de Bogotá</w:t>
      </w:r>
      <w:r>
        <w:rPr>
          <w:rFonts w:ascii="Arial Narrow" w:eastAsia="Arial Narrow" w:hAnsi="Arial Narrow" w:cs="Arial Narrow"/>
        </w:rPr>
        <w:tab/>
      </w:r>
      <w:r>
        <w:rPr>
          <w:rFonts w:ascii="Arial Narrow" w:eastAsia="Arial Narrow" w:hAnsi="Arial Narrow" w:cs="Arial Narrow"/>
        </w:rPr>
        <w:tab/>
      </w:r>
      <w:r>
        <w:rPr>
          <w:rFonts w:ascii="Arial Narrow" w:eastAsia="Arial Narrow" w:hAnsi="Arial Narrow" w:cs="Arial Narrow"/>
        </w:rPr>
        <w:tab/>
      </w:r>
      <w:r>
        <w:rPr>
          <w:rFonts w:ascii="Arial Narrow" w:eastAsia="Arial Narrow" w:hAnsi="Arial Narrow" w:cs="Arial Narrow"/>
        </w:rPr>
        <w:tab/>
      </w:r>
      <w:r>
        <w:rPr>
          <w:rFonts w:ascii="Arial Narrow" w:eastAsia="Arial Narrow" w:hAnsi="Arial Narrow" w:cs="Arial Narrow"/>
        </w:rPr>
        <w:tab/>
        <w:t>Concejal de Bogotá</w:t>
      </w:r>
    </w:p>
    <w:p w:rsidR="009F0B88" w:rsidRDefault="00B90476">
      <w:pPr>
        <w:spacing w:line="276" w:lineRule="auto"/>
        <w:jc w:val="both"/>
        <w:rPr>
          <w:rFonts w:ascii="Arial Narrow" w:eastAsia="Arial Narrow" w:hAnsi="Arial Narrow" w:cs="Arial Narrow"/>
        </w:rPr>
      </w:pPr>
      <w:r>
        <w:rPr>
          <w:rFonts w:ascii="Arial Narrow" w:eastAsia="Arial Narrow" w:hAnsi="Arial Narrow" w:cs="Arial Narrow"/>
        </w:rPr>
        <w:t>Partido Nuevo liberalismo</w:t>
      </w:r>
      <w:r>
        <w:rPr>
          <w:rFonts w:ascii="Arial Narrow" w:eastAsia="Arial Narrow" w:hAnsi="Arial Narrow" w:cs="Arial Narrow"/>
        </w:rPr>
        <w:tab/>
      </w:r>
      <w:r>
        <w:rPr>
          <w:rFonts w:ascii="Arial Narrow" w:eastAsia="Arial Narrow" w:hAnsi="Arial Narrow" w:cs="Arial Narrow"/>
        </w:rPr>
        <w:tab/>
      </w:r>
      <w:r>
        <w:rPr>
          <w:rFonts w:ascii="Arial Narrow" w:eastAsia="Arial Narrow" w:hAnsi="Arial Narrow" w:cs="Arial Narrow"/>
        </w:rPr>
        <w:tab/>
        <w:t xml:space="preserve">             Partido Político MIRA</w:t>
      </w:r>
    </w:p>
    <w:p w:rsidR="009F0B88" w:rsidRDefault="00B90476">
      <w:pPr>
        <w:spacing w:line="276" w:lineRule="auto"/>
        <w:jc w:val="both"/>
        <w:rPr>
          <w:rFonts w:ascii="Arial Narrow" w:eastAsia="Arial Narrow" w:hAnsi="Arial Narrow" w:cs="Arial Narrow"/>
        </w:rPr>
        <w:sectPr w:rsidR="009F0B88">
          <w:headerReference w:type="default" r:id="rId8"/>
          <w:footerReference w:type="even" r:id="rId9"/>
          <w:footerReference w:type="default" r:id="rId10"/>
          <w:pgSz w:w="12242" w:h="15842"/>
          <w:pgMar w:top="1700" w:right="1417" w:bottom="1700" w:left="1417" w:header="567" w:footer="851" w:gutter="0"/>
          <w:pgNumType w:start="1"/>
          <w:cols w:space="720"/>
        </w:sectPr>
      </w:pPr>
      <w:r>
        <w:rPr>
          <w:rFonts w:ascii="Arial Narrow" w:eastAsia="Arial Narrow" w:hAnsi="Arial Narrow" w:cs="Arial Narrow"/>
        </w:rPr>
        <w:t>Coordinador Ponente</w:t>
      </w:r>
      <w:r>
        <w:rPr>
          <w:rFonts w:ascii="Arial Narrow" w:eastAsia="Arial Narrow" w:hAnsi="Arial Narrow" w:cs="Arial Narrow"/>
        </w:rPr>
        <w:tab/>
      </w:r>
      <w:r>
        <w:rPr>
          <w:rFonts w:ascii="Arial Narrow" w:eastAsia="Arial Narrow" w:hAnsi="Arial Narrow" w:cs="Arial Narrow"/>
        </w:rPr>
        <w:tab/>
      </w:r>
      <w:r>
        <w:rPr>
          <w:rFonts w:ascii="Arial Narrow" w:eastAsia="Arial Narrow" w:hAnsi="Arial Narrow" w:cs="Arial Narrow"/>
        </w:rPr>
        <w:tab/>
      </w:r>
      <w:r>
        <w:rPr>
          <w:rFonts w:ascii="Arial Narrow" w:eastAsia="Arial Narrow" w:hAnsi="Arial Narrow" w:cs="Arial Narrow"/>
        </w:rPr>
        <w:tab/>
      </w:r>
      <w:r>
        <w:rPr>
          <w:rFonts w:ascii="Arial Narrow" w:eastAsia="Arial Narrow" w:hAnsi="Arial Narrow" w:cs="Arial Narrow"/>
        </w:rPr>
        <w:tab/>
      </w:r>
      <w:proofErr w:type="spellStart"/>
      <w:r>
        <w:rPr>
          <w:rFonts w:ascii="Arial Narrow" w:eastAsia="Arial Narrow" w:hAnsi="Arial Narrow" w:cs="Arial Narrow"/>
        </w:rPr>
        <w:t>Ponente</w:t>
      </w:r>
      <w:proofErr w:type="spellEnd"/>
    </w:p>
    <w:p w:rsidR="009F0B88" w:rsidRDefault="009F0B88">
      <w:pPr>
        <w:spacing w:line="276" w:lineRule="auto"/>
        <w:jc w:val="both"/>
        <w:rPr>
          <w:rFonts w:ascii="Times New Roman" w:eastAsia="Times New Roman" w:hAnsi="Times New Roman" w:cs="Times New Roman"/>
        </w:rPr>
      </w:pPr>
    </w:p>
    <w:p w:rsidR="009F0B88" w:rsidRDefault="00B90476">
      <w:pPr>
        <w:spacing w:line="276" w:lineRule="auto"/>
        <w:jc w:val="center"/>
        <w:rPr>
          <w:rFonts w:ascii="Arial Narrow" w:eastAsia="Arial Narrow" w:hAnsi="Arial Narrow" w:cs="Arial Narrow"/>
          <w:b/>
          <w:sz w:val="22"/>
          <w:szCs w:val="22"/>
        </w:rPr>
      </w:pPr>
      <w:r>
        <w:rPr>
          <w:rFonts w:ascii="Arial Narrow" w:eastAsia="Arial Narrow" w:hAnsi="Arial Narrow" w:cs="Arial Narrow"/>
          <w:b/>
          <w:sz w:val="22"/>
          <w:szCs w:val="22"/>
        </w:rPr>
        <w:t>PONENCIA PROYECTO DE ACUERDO 240 DE 2025</w:t>
      </w:r>
    </w:p>
    <w:p w:rsidR="009F0B88" w:rsidRDefault="009F0B88">
      <w:pPr>
        <w:spacing w:line="276" w:lineRule="auto"/>
        <w:jc w:val="both"/>
        <w:rPr>
          <w:rFonts w:ascii="Arial Narrow" w:eastAsia="Arial Narrow" w:hAnsi="Arial Narrow" w:cs="Arial Narrow"/>
          <w:sz w:val="22"/>
          <w:szCs w:val="22"/>
        </w:rPr>
      </w:pPr>
    </w:p>
    <w:p w:rsidR="009F0B88" w:rsidRDefault="00B90476">
      <w:pPr>
        <w:spacing w:line="276" w:lineRule="auto"/>
        <w:jc w:val="center"/>
        <w:rPr>
          <w:rFonts w:ascii="Arial Narrow" w:eastAsia="Arial Narrow" w:hAnsi="Arial Narrow" w:cs="Arial Narrow"/>
          <w:sz w:val="22"/>
          <w:szCs w:val="22"/>
        </w:rPr>
      </w:pPr>
      <w:r>
        <w:rPr>
          <w:rFonts w:ascii="Arial Narrow" w:eastAsia="Arial Narrow" w:hAnsi="Arial Narrow" w:cs="Arial Narrow"/>
          <w:b/>
          <w:sz w:val="22"/>
          <w:szCs w:val="22"/>
        </w:rPr>
        <w:lastRenderedPageBreak/>
        <w:t>“</w:t>
      </w:r>
      <w:r>
        <w:rPr>
          <w:rFonts w:ascii="Arial Narrow" w:eastAsia="Arial Narrow" w:hAnsi="Arial Narrow" w:cs="Arial Narrow"/>
          <w:b/>
        </w:rPr>
        <w:t>POR MEDIO DEL CUAL SE ESTABLECEN MEDIDAS PARA FORTALECER LAS ACCIONES EN SALUD PÚBLICA EN ESTABLECIMIENTOS DE PREPARACIÓN Y CONSUMO DE ALIMENTOS EN EL DISTRITO CAPITAL</w:t>
      </w:r>
      <w:r>
        <w:rPr>
          <w:rFonts w:ascii="Arial Narrow" w:eastAsia="Arial Narrow" w:hAnsi="Arial Narrow" w:cs="Arial Narrow"/>
          <w:b/>
          <w:i/>
          <w:color w:val="333333"/>
          <w:sz w:val="22"/>
          <w:szCs w:val="22"/>
          <w:highlight w:val="white"/>
        </w:rPr>
        <w:t>”</w:t>
      </w:r>
      <w:r>
        <w:rPr>
          <w:rFonts w:ascii="Arial Narrow" w:eastAsia="Arial Narrow" w:hAnsi="Arial Narrow" w:cs="Arial Narrow"/>
          <w:b/>
          <w:sz w:val="22"/>
          <w:szCs w:val="22"/>
        </w:rPr>
        <w:t xml:space="preserve"> </w:t>
      </w:r>
    </w:p>
    <w:p w:rsidR="009F0B88" w:rsidRDefault="009F0B88">
      <w:pPr>
        <w:spacing w:line="276" w:lineRule="auto"/>
        <w:rPr>
          <w:rFonts w:ascii="Arial Narrow" w:eastAsia="Arial Narrow" w:hAnsi="Arial Narrow" w:cs="Arial Narrow"/>
          <w:b/>
          <w:sz w:val="22"/>
          <w:szCs w:val="22"/>
        </w:rPr>
      </w:pPr>
    </w:p>
    <w:p w:rsidR="009F0B88" w:rsidRDefault="00B90476">
      <w:pPr>
        <w:spacing w:line="276" w:lineRule="auto"/>
        <w:jc w:val="center"/>
        <w:rPr>
          <w:rFonts w:ascii="Arial Narrow" w:eastAsia="Arial Narrow" w:hAnsi="Arial Narrow" w:cs="Arial Narrow"/>
          <w:b/>
          <w:sz w:val="22"/>
          <w:szCs w:val="22"/>
        </w:rPr>
      </w:pPr>
      <w:r>
        <w:rPr>
          <w:rFonts w:ascii="Arial Narrow" w:eastAsia="Arial Narrow" w:hAnsi="Arial Narrow" w:cs="Arial Narrow"/>
          <w:b/>
          <w:sz w:val="22"/>
          <w:szCs w:val="22"/>
        </w:rPr>
        <w:t>EXPOSICIÓN DE MOTIVOS</w:t>
      </w:r>
    </w:p>
    <w:p w:rsidR="009F0B88" w:rsidRDefault="009F0B88">
      <w:pPr>
        <w:spacing w:line="276" w:lineRule="auto"/>
        <w:jc w:val="center"/>
        <w:rPr>
          <w:rFonts w:ascii="Arial Narrow" w:eastAsia="Arial Narrow" w:hAnsi="Arial Narrow" w:cs="Arial Narrow"/>
          <w:sz w:val="22"/>
          <w:szCs w:val="22"/>
        </w:rPr>
      </w:pPr>
    </w:p>
    <w:p w:rsidR="009F0B88" w:rsidRDefault="00B90476">
      <w:pPr>
        <w:keepNext/>
        <w:keepLines/>
        <w:numPr>
          <w:ilvl w:val="0"/>
          <w:numId w:val="6"/>
        </w:numPr>
        <w:pBdr>
          <w:top w:val="nil"/>
          <w:left w:val="nil"/>
          <w:bottom w:val="nil"/>
          <w:right w:val="nil"/>
          <w:between w:val="nil"/>
        </w:pBdr>
        <w:tabs>
          <w:tab w:val="left" w:pos="284"/>
        </w:tabs>
        <w:spacing w:line="276" w:lineRule="auto"/>
        <w:ind w:left="0" w:firstLine="0"/>
        <w:jc w:val="both"/>
        <w:rPr>
          <w:rFonts w:ascii="Arial Narrow" w:eastAsia="Arial Narrow" w:hAnsi="Arial Narrow" w:cs="Arial Narrow"/>
          <w:b/>
          <w:color w:val="000000"/>
          <w:sz w:val="22"/>
          <w:szCs w:val="22"/>
        </w:rPr>
      </w:pPr>
      <w:r>
        <w:rPr>
          <w:rFonts w:ascii="Arial Narrow" w:eastAsia="Arial Narrow" w:hAnsi="Arial Narrow" w:cs="Arial Narrow"/>
          <w:b/>
          <w:color w:val="000000"/>
          <w:sz w:val="22"/>
          <w:szCs w:val="22"/>
        </w:rPr>
        <w:t>OBJETO DEL PROYECTO</w:t>
      </w:r>
    </w:p>
    <w:p w:rsidR="009F0B88" w:rsidRDefault="009F0B88">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Narrow" w:eastAsia="Arial Narrow" w:hAnsi="Arial Narrow" w:cs="Arial Narrow"/>
          <w:b/>
          <w:sz w:val="22"/>
          <w:szCs w:val="22"/>
        </w:rPr>
      </w:pPr>
    </w:p>
    <w:p w:rsidR="009F0B88" w:rsidRDefault="00B90476">
      <w:pPr>
        <w:spacing w:line="276" w:lineRule="auto"/>
        <w:jc w:val="both"/>
      </w:pPr>
      <w:r>
        <w:rPr>
          <w:rFonts w:ascii="Arial Narrow" w:eastAsia="Arial Narrow" w:hAnsi="Arial Narrow" w:cs="Arial Narrow"/>
          <w:sz w:val="22"/>
          <w:szCs w:val="22"/>
        </w:rPr>
        <w:t>Adoptar medidas que permitan el fortalecimiento de las acciones en salud pública para prevenir y minimizar los riesgos en la proliferación y transmisión de enfermedades por alimentos, permitiendo a los ciudadanos visualizar y conocer el concepto sanitario emitido por la Secretaría Distrital de Salud de los establecimientos dedicados a la preparación y consumo de alimentos.</w:t>
      </w:r>
      <w:r>
        <w:t xml:space="preserve"> </w:t>
      </w:r>
    </w:p>
    <w:p w:rsidR="009F0B88" w:rsidRDefault="009F0B88">
      <w:pPr>
        <w:widowControl w:val="0"/>
        <w:rPr>
          <w:rFonts w:ascii="Arial Narrow" w:eastAsia="Arial Narrow" w:hAnsi="Arial Narrow" w:cs="Arial Narrow"/>
          <w:b/>
          <w:sz w:val="22"/>
          <w:szCs w:val="22"/>
        </w:rPr>
      </w:pPr>
    </w:p>
    <w:p w:rsidR="009F0B88" w:rsidRDefault="009F0B88">
      <w:pPr>
        <w:spacing w:line="276" w:lineRule="auto"/>
        <w:jc w:val="both"/>
        <w:rPr>
          <w:rFonts w:ascii="Arial Narrow" w:eastAsia="Arial Narrow" w:hAnsi="Arial Narrow" w:cs="Arial Narrow"/>
          <w:sz w:val="22"/>
          <w:szCs w:val="22"/>
        </w:rPr>
      </w:pPr>
    </w:p>
    <w:p w:rsidR="009F0B88" w:rsidRDefault="00B90476">
      <w:pPr>
        <w:keepNext/>
        <w:keepLines/>
        <w:numPr>
          <w:ilvl w:val="0"/>
          <w:numId w:val="6"/>
        </w:numPr>
        <w:pBdr>
          <w:top w:val="nil"/>
          <w:left w:val="nil"/>
          <w:bottom w:val="nil"/>
          <w:right w:val="nil"/>
          <w:between w:val="nil"/>
        </w:pBdr>
        <w:tabs>
          <w:tab w:val="left" w:pos="284"/>
        </w:tabs>
        <w:spacing w:line="276" w:lineRule="auto"/>
        <w:ind w:left="0" w:firstLine="0"/>
        <w:jc w:val="both"/>
        <w:rPr>
          <w:rFonts w:ascii="Arial Narrow" w:eastAsia="Arial Narrow" w:hAnsi="Arial Narrow" w:cs="Arial Narrow"/>
          <w:b/>
          <w:color w:val="000000"/>
          <w:sz w:val="22"/>
          <w:szCs w:val="22"/>
        </w:rPr>
      </w:pPr>
      <w:r>
        <w:rPr>
          <w:rFonts w:ascii="Arial Narrow" w:eastAsia="Arial Narrow" w:hAnsi="Arial Narrow" w:cs="Arial Narrow"/>
          <w:b/>
          <w:color w:val="000000"/>
          <w:sz w:val="22"/>
          <w:szCs w:val="22"/>
        </w:rPr>
        <w:t>ANTECEDENTES</w:t>
      </w:r>
    </w:p>
    <w:p w:rsidR="009F0B88" w:rsidRDefault="009F0B88">
      <w:pPr>
        <w:keepNext/>
        <w:keepLines/>
        <w:pBdr>
          <w:top w:val="nil"/>
          <w:left w:val="nil"/>
          <w:bottom w:val="nil"/>
          <w:right w:val="nil"/>
          <w:between w:val="nil"/>
        </w:pBdr>
        <w:tabs>
          <w:tab w:val="left" w:pos="284"/>
        </w:tabs>
        <w:spacing w:line="276" w:lineRule="auto"/>
        <w:jc w:val="both"/>
        <w:rPr>
          <w:rFonts w:ascii="Arial Narrow" w:eastAsia="Arial Narrow" w:hAnsi="Arial Narrow" w:cs="Arial Narrow"/>
          <w:color w:val="000000"/>
          <w:sz w:val="22"/>
          <w:szCs w:val="22"/>
        </w:rPr>
      </w:pPr>
    </w:p>
    <w:p w:rsidR="009F0B88" w:rsidRDefault="00B90476">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Narrow" w:eastAsia="Arial Narrow" w:hAnsi="Arial Narrow" w:cs="Arial Narrow"/>
          <w:sz w:val="22"/>
          <w:szCs w:val="22"/>
        </w:rPr>
      </w:pPr>
      <w:r>
        <w:rPr>
          <w:rFonts w:ascii="Arial Narrow" w:eastAsia="Arial Narrow" w:hAnsi="Arial Narrow" w:cs="Arial Narrow"/>
          <w:sz w:val="22"/>
          <w:szCs w:val="22"/>
        </w:rPr>
        <w:t xml:space="preserve">El Proyecto de Acuerdo Nº 240 de 2025, </w:t>
      </w:r>
      <w:r>
        <w:rPr>
          <w:rFonts w:ascii="Arial Narrow" w:eastAsia="Arial Narrow" w:hAnsi="Arial Narrow" w:cs="Arial Narrow"/>
          <w:b/>
          <w:sz w:val="22"/>
          <w:szCs w:val="22"/>
        </w:rPr>
        <w:t>“</w:t>
      </w:r>
      <w:r>
        <w:rPr>
          <w:rFonts w:ascii="Arial Narrow" w:eastAsia="Arial Narrow" w:hAnsi="Arial Narrow" w:cs="Arial Narrow"/>
        </w:rPr>
        <w:t>Por medio del cual se establecen medidas para fortalecer las acciones en salud pública en establecimientos de preparación y consumo de alimentos en el distrito capital</w:t>
      </w:r>
      <w:r>
        <w:rPr>
          <w:rFonts w:ascii="Arial Narrow" w:eastAsia="Arial Narrow" w:hAnsi="Arial Narrow" w:cs="Arial Narrow"/>
          <w:b/>
          <w:sz w:val="22"/>
          <w:szCs w:val="22"/>
        </w:rPr>
        <w:t>”</w:t>
      </w:r>
      <w:r>
        <w:rPr>
          <w:rFonts w:ascii="Arial Narrow" w:eastAsia="Arial Narrow" w:hAnsi="Arial Narrow" w:cs="Arial Narrow"/>
          <w:sz w:val="22"/>
          <w:szCs w:val="22"/>
        </w:rPr>
        <w:t xml:space="preserve">, registra antecedentes en las vigencias pasadas según los informes anuales titulados relación de proyectos de acuerdo - </w:t>
      </w:r>
      <w:r>
        <w:rPr>
          <w:rFonts w:ascii="Arial Narrow" w:eastAsia="Arial Narrow" w:hAnsi="Arial Narrow" w:cs="Arial Narrow"/>
          <w:b/>
          <w:sz w:val="22"/>
          <w:szCs w:val="22"/>
        </w:rPr>
        <w:t>GNV-FO-002</w:t>
      </w:r>
      <w:r>
        <w:rPr>
          <w:rFonts w:ascii="Arial Narrow" w:eastAsia="Arial Narrow" w:hAnsi="Arial Narrow" w:cs="Arial Narrow"/>
          <w:sz w:val="22"/>
          <w:szCs w:val="22"/>
        </w:rPr>
        <w:t>, Comisiones V04, publicados para dichos períodos que se encuentra en la red interna del Concejo de Bogotá:</w:t>
      </w:r>
    </w:p>
    <w:p w:rsidR="009F0B88" w:rsidRDefault="009F0B88">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Narrow" w:eastAsia="Arial Narrow" w:hAnsi="Arial Narrow" w:cs="Arial Narrow"/>
          <w:sz w:val="22"/>
          <w:szCs w:val="22"/>
        </w:rPr>
      </w:pPr>
    </w:p>
    <w:tbl>
      <w:tblPr>
        <w:tblStyle w:val="af1"/>
        <w:tblW w:w="924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080"/>
        <w:gridCol w:w="3080"/>
        <w:gridCol w:w="3080"/>
      </w:tblGrid>
      <w:tr w:rsidR="009F0B88">
        <w:trPr>
          <w:trHeight w:val="529"/>
        </w:trPr>
        <w:tc>
          <w:tcPr>
            <w:tcW w:w="3080" w:type="dxa"/>
            <w:tcBorders>
              <w:top w:val="single" w:sz="8" w:space="0" w:color="000000"/>
              <w:left w:val="single" w:sz="8" w:space="0" w:color="000000"/>
              <w:bottom w:val="single" w:sz="4" w:space="0" w:color="000000"/>
              <w:right w:val="single" w:sz="8" w:space="0" w:color="000000"/>
            </w:tcBorders>
            <w:shd w:val="clear" w:color="auto" w:fill="A2C4C9"/>
            <w:tcMar>
              <w:top w:w="100" w:type="dxa"/>
              <w:left w:w="100" w:type="dxa"/>
              <w:bottom w:w="100" w:type="dxa"/>
              <w:right w:w="100" w:type="dxa"/>
            </w:tcMar>
          </w:tcPr>
          <w:p w:rsidR="009F0B88" w:rsidRDefault="00B90476">
            <w:pPr>
              <w:spacing w:line="276" w:lineRule="auto"/>
              <w:ind w:left="-100"/>
              <w:jc w:val="center"/>
              <w:rPr>
                <w:rFonts w:ascii="Arial Narrow" w:eastAsia="Arial Narrow" w:hAnsi="Arial Narrow" w:cs="Arial Narrow"/>
                <w:b/>
                <w:sz w:val="22"/>
                <w:szCs w:val="22"/>
                <w:shd w:val="clear" w:color="auto" w:fill="A2C4C9"/>
              </w:rPr>
            </w:pPr>
            <w:r>
              <w:rPr>
                <w:rFonts w:ascii="Arial Narrow" w:eastAsia="Arial Narrow" w:hAnsi="Arial Narrow" w:cs="Arial Narrow"/>
                <w:b/>
                <w:sz w:val="22"/>
                <w:szCs w:val="22"/>
                <w:shd w:val="clear" w:color="auto" w:fill="A2C4C9"/>
              </w:rPr>
              <w:t>Fecha de Radicación</w:t>
            </w:r>
          </w:p>
        </w:tc>
        <w:tc>
          <w:tcPr>
            <w:tcW w:w="3080" w:type="dxa"/>
            <w:tcBorders>
              <w:top w:val="single" w:sz="8" w:space="0" w:color="000000"/>
              <w:left w:val="nil"/>
              <w:bottom w:val="single" w:sz="4" w:space="0" w:color="000000"/>
              <w:right w:val="single" w:sz="8" w:space="0" w:color="000000"/>
            </w:tcBorders>
            <w:shd w:val="clear" w:color="auto" w:fill="A2C4C9"/>
            <w:tcMar>
              <w:top w:w="100" w:type="dxa"/>
              <w:left w:w="100" w:type="dxa"/>
              <w:bottom w:w="100" w:type="dxa"/>
              <w:right w:w="100" w:type="dxa"/>
            </w:tcMar>
          </w:tcPr>
          <w:p w:rsidR="009F0B88" w:rsidRDefault="00B90476">
            <w:pPr>
              <w:spacing w:line="276" w:lineRule="auto"/>
              <w:ind w:left="-100"/>
              <w:jc w:val="center"/>
              <w:rPr>
                <w:rFonts w:ascii="Arial Narrow" w:eastAsia="Arial Narrow" w:hAnsi="Arial Narrow" w:cs="Arial Narrow"/>
                <w:b/>
                <w:sz w:val="22"/>
                <w:szCs w:val="22"/>
                <w:shd w:val="clear" w:color="auto" w:fill="A2C4C9"/>
              </w:rPr>
            </w:pPr>
            <w:r>
              <w:rPr>
                <w:rFonts w:ascii="Arial Narrow" w:eastAsia="Arial Narrow" w:hAnsi="Arial Narrow" w:cs="Arial Narrow"/>
                <w:b/>
                <w:sz w:val="22"/>
                <w:szCs w:val="22"/>
                <w:shd w:val="clear" w:color="auto" w:fill="A2C4C9"/>
              </w:rPr>
              <w:t>Nombre y número del Proyecto</w:t>
            </w:r>
          </w:p>
        </w:tc>
        <w:tc>
          <w:tcPr>
            <w:tcW w:w="3080" w:type="dxa"/>
            <w:tcBorders>
              <w:top w:val="single" w:sz="8" w:space="0" w:color="000000"/>
              <w:left w:val="nil"/>
              <w:bottom w:val="single" w:sz="4" w:space="0" w:color="000000"/>
              <w:right w:val="single" w:sz="8" w:space="0" w:color="000000"/>
            </w:tcBorders>
            <w:shd w:val="clear" w:color="auto" w:fill="A2C4C9"/>
            <w:tcMar>
              <w:top w:w="100" w:type="dxa"/>
              <w:left w:w="100" w:type="dxa"/>
              <w:bottom w:w="100" w:type="dxa"/>
              <w:right w:w="100" w:type="dxa"/>
            </w:tcMar>
          </w:tcPr>
          <w:p w:rsidR="009F0B88" w:rsidRDefault="00B90476">
            <w:pPr>
              <w:spacing w:line="276" w:lineRule="auto"/>
              <w:ind w:left="-100"/>
              <w:jc w:val="center"/>
              <w:rPr>
                <w:rFonts w:ascii="Arial Narrow" w:eastAsia="Arial Narrow" w:hAnsi="Arial Narrow" w:cs="Arial Narrow"/>
                <w:b/>
                <w:sz w:val="22"/>
                <w:szCs w:val="22"/>
                <w:shd w:val="clear" w:color="auto" w:fill="A2C4C9"/>
              </w:rPr>
            </w:pPr>
            <w:r>
              <w:rPr>
                <w:rFonts w:ascii="Arial Narrow" w:eastAsia="Arial Narrow" w:hAnsi="Arial Narrow" w:cs="Arial Narrow"/>
                <w:b/>
                <w:sz w:val="22"/>
                <w:szCs w:val="22"/>
                <w:shd w:val="clear" w:color="auto" w:fill="A2C4C9"/>
              </w:rPr>
              <w:t>Trámite</w:t>
            </w:r>
          </w:p>
        </w:tc>
      </w:tr>
      <w:tr w:rsidR="009F0B88">
        <w:trPr>
          <w:trHeight w:val="2425"/>
        </w:trPr>
        <w:tc>
          <w:tcPr>
            <w:tcW w:w="308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9F0B88" w:rsidRDefault="00B90476">
            <w:pPr>
              <w:widowControl w:val="0"/>
              <w:spacing w:line="276" w:lineRule="auto"/>
              <w:rPr>
                <w:rFonts w:ascii="Arial Narrow" w:eastAsia="Arial Narrow" w:hAnsi="Arial Narrow" w:cs="Arial Narrow"/>
                <w:sz w:val="22"/>
                <w:szCs w:val="22"/>
              </w:rPr>
            </w:pPr>
            <w:r>
              <w:rPr>
                <w:rFonts w:ascii="Arial Narrow" w:eastAsia="Arial Narrow" w:hAnsi="Arial Narrow" w:cs="Arial Narrow"/>
                <w:sz w:val="22"/>
                <w:szCs w:val="22"/>
              </w:rPr>
              <w:t xml:space="preserve">                      26/04/2024</w:t>
            </w:r>
          </w:p>
        </w:tc>
        <w:tc>
          <w:tcPr>
            <w:tcW w:w="308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9F0B88" w:rsidRDefault="00B90476">
            <w:pPr>
              <w:widowControl w:val="0"/>
              <w:spacing w:line="276" w:lineRule="auto"/>
              <w:jc w:val="both"/>
              <w:rPr>
                <w:rFonts w:ascii="Arial Narrow" w:eastAsia="Arial Narrow" w:hAnsi="Arial Narrow" w:cs="Arial Narrow"/>
                <w:sz w:val="22"/>
                <w:szCs w:val="22"/>
              </w:rPr>
            </w:pPr>
            <w:r>
              <w:rPr>
                <w:rFonts w:ascii="Arial Narrow" w:eastAsia="Arial Narrow" w:hAnsi="Arial Narrow" w:cs="Arial Narrow"/>
              </w:rPr>
              <w:t>“por medio del cual se establecen medidas para fortalecer las acciones en salud pública en establecimientos de preparación y consumo de alimentos en el distrito capital”</w:t>
            </w:r>
          </w:p>
        </w:tc>
        <w:tc>
          <w:tcPr>
            <w:tcW w:w="3080" w:type="dxa"/>
            <w:tcBorders>
              <w:top w:val="single" w:sz="6" w:space="0" w:color="CCCCCC"/>
              <w:left w:val="single" w:sz="6" w:space="0" w:color="CCCCCC"/>
              <w:bottom w:val="single" w:sz="6" w:space="0" w:color="000000"/>
              <w:right w:val="single" w:sz="6" w:space="0" w:color="000000"/>
            </w:tcBorders>
            <w:tcMar>
              <w:top w:w="40" w:type="dxa"/>
              <w:left w:w="0" w:type="dxa"/>
              <w:bottom w:w="40" w:type="dxa"/>
              <w:right w:w="0" w:type="dxa"/>
            </w:tcMar>
            <w:vAlign w:val="bottom"/>
          </w:tcPr>
          <w:p w:rsidR="009F0B88" w:rsidRDefault="00B90476">
            <w:pPr>
              <w:widowControl w:val="0"/>
              <w:spacing w:line="276" w:lineRule="auto"/>
              <w:rPr>
                <w:rFonts w:ascii="Arial Narrow" w:eastAsia="Arial Narrow" w:hAnsi="Arial Narrow" w:cs="Arial Narrow"/>
                <w:sz w:val="22"/>
                <w:szCs w:val="22"/>
              </w:rPr>
            </w:pPr>
            <w:r>
              <w:rPr>
                <w:rFonts w:ascii="Arial Narrow" w:eastAsia="Arial Narrow" w:hAnsi="Arial Narrow" w:cs="Arial Narrow"/>
                <w:sz w:val="22"/>
                <w:szCs w:val="22"/>
              </w:rPr>
              <w:t xml:space="preserve">Remitido a la respectiva comisión el día </w:t>
            </w:r>
            <w:proofErr w:type="gramStart"/>
            <w:r>
              <w:rPr>
                <w:rFonts w:ascii="Arial Narrow" w:eastAsia="Arial Narrow" w:hAnsi="Arial Narrow" w:cs="Arial Narrow"/>
                <w:sz w:val="22"/>
                <w:szCs w:val="22"/>
              </w:rPr>
              <w:t>01  de</w:t>
            </w:r>
            <w:proofErr w:type="gramEnd"/>
            <w:r>
              <w:rPr>
                <w:rFonts w:ascii="Arial Narrow" w:eastAsia="Arial Narrow" w:hAnsi="Arial Narrow" w:cs="Arial Narrow"/>
                <w:sz w:val="22"/>
                <w:szCs w:val="22"/>
              </w:rPr>
              <w:t xml:space="preserve"> mayo de 2024</w:t>
            </w:r>
          </w:p>
          <w:p w:rsidR="009F0B88" w:rsidRDefault="009F0B88">
            <w:pPr>
              <w:widowControl w:val="0"/>
              <w:spacing w:line="276" w:lineRule="auto"/>
              <w:rPr>
                <w:rFonts w:ascii="Arial Narrow" w:eastAsia="Arial Narrow" w:hAnsi="Arial Narrow" w:cs="Arial Narrow"/>
                <w:sz w:val="22"/>
                <w:szCs w:val="22"/>
              </w:rPr>
            </w:pPr>
          </w:p>
          <w:p w:rsidR="009F0B88" w:rsidRDefault="00B90476">
            <w:pPr>
              <w:widowControl w:val="0"/>
              <w:spacing w:line="276" w:lineRule="auto"/>
              <w:rPr>
                <w:rFonts w:ascii="Arial Narrow" w:eastAsia="Arial Narrow" w:hAnsi="Arial Narrow" w:cs="Arial Narrow"/>
                <w:sz w:val="22"/>
                <w:szCs w:val="22"/>
              </w:rPr>
            </w:pPr>
            <w:r>
              <w:rPr>
                <w:rFonts w:ascii="Arial Narrow" w:eastAsia="Arial Narrow" w:hAnsi="Arial Narrow" w:cs="Arial Narrow"/>
                <w:sz w:val="22"/>
                <w:szCs w:val="22"/>
              </w:rPr>
              <w:t>ARCHIVADO EN VIRTUD DEL ART. 79 DEL ACUERDO 741 DE 2019- SESIONES ORDINARIAS DEL MES DE MAYO DE 2024</w:t>
            </w:r>
          </w:p>
          <w:p w:rsidR="009F0B88" w:rsidRDefault="009F0B88">
            <w:pPr>
              <w:widowControl w:val="0"/>
              <w:spacing w:line="276" w:lineRule="auto"/>
              <w:rPr>
                <w:rFonts w:ascii="Arial Narrow" w:eastAsia="Arial Narrow" w:hAnsi="Arial Narrow" w:cs="Arial Narrow"/>
                <w:sz w:val="22"/>
                <w:szCs w:val="22"/>
              </w:rPr>
            </w:pPr>
          </w:p>
        </w:tc>
      </w:tr>
    </w:tbl>
    <w:p w:rsidR="009F0B88" w:rsidRDefault="00B90476">
      <w:pPr>
        <w:pBdr>
          <w:top w:val="nil"/>
          <w:left w:val="nil"/>
          <w:bottom w:val="nil"/>
          <w:right w:val="nil"/>
          <w:between w:val="nil"/>
        </w:pBdr>
        <w:spacing w:line="276" w:lineRule="auto"/>
        <w:ind w:right="207"/>
        <w:jc w:val="center"/>
        <w:rPr>
          <w:rFonts w:ascii="Arial Narrow" w:eastAsia="Arial Narrow" w:hAnsi="Arial Narrow" w:cs="Arial Narrow"/>
        </w:rPr>
      </w:pPr>
      <w:r>
        <w:rPr>
          <w:rFonts w:ascii="Arial Narrow" w:eastAsia="Arial Narrow" w:hAnsi="Arial Narrow" w:cs="Arial Narrow"/>
          <w:b/>
          <w:i/>
          <w:sz w:val="18"/>
          <w:szCs w:val="18"/>
        </w:rPr>
        <w:t>Fuente:</w:t>
      </w:r>
      <w:sdt>
        <w:sdtPr>
          <w:tag w:val="goog_rdk_0"/>
          <w:id w:val="-1588837255"/>
        </w:sdtPr>
        <w:sdtEndPr/>
        <w:sdtContent>
          <w:r>
            <w:rPr>
              <w:i/>
              <w:sz w:val="18"/>
              <w:szCs w:val="18"/>
            </w:rPr>
            <w:t xml:space="preserve"> tomado de GNV-FO-002. </w:t>
          </w:r>
          <w:proofErr w:type="spellStart"/>
          <w:r>
            <w:rPr>
              <w:i/>
              <w:sz w:val="18"/>
              <w:szCs w:val="18"/>
            </w:rPr>
            <w:t>Relación</w:t>
          </w:r>
          <w:proofErr w:type="spellEnd"/>
          <w:r>
            <w:rPr>
              <w:i/>
              <w:sz w:val="18"/>
              <w:szCs w:val="18"/>
            </w:rPr>
            <w:t xml:space="preserve"> de Proyecto de Acuerdo Comisiones V04 que se encuentra en la red interna del Concejo de Bogotá.</w:t>
          </w:r>
        </w:sdtContent>
      </w:sdt>
      <w:r>
        <w:rPr>
          <w:rFonts w:ascii="Arial Narrow" w:eastAsia="Arial Narrow" w:hAnsi="Arial Narrow" w:cs="Arial Narrow"/>
        </w:rPr>
        <w:t xml:space="preserve"> </w:t>
      </w:r>
    </w:p>
    <w:p w:rsidR="009F0B88" w:rsidRDefault="009F0B88">
      <w:pPr>
        <w:pBdr>
          <w:top w:val="nil"/>
          <w:left w:val="nil"/>
          <w:bottom w:val="nil"/>
          <w:right w:val="nil"/>
          <w:between w:val="nil"/>
        </w:pBdr>
        <w:spacing w:line="276" w:lineRule="auto"/>
        <w:jc w:val="both"/>
        <w:rPr>
          <w:rFonts w:ascii="Arial Narrow" w:eastAsia="Arial Narrow" w:hAnsi="Arial Narrow" w:cs="Arial Narrow"/>
          <w:sz w:val="22"/>
          <w:szCs w:val="22"/>
          <w:highlight w:val="yellow"/>
        </w:rPr>
      </w:pPr>
    </w:p>
    <w:p w:rsidR="009F0B88" w:rsidRDefault="00B90476">
      <w:pPr>
        <w:keepNext/>
        <w:keepLines/>
        <w:numPr>
          <w:ilvl w:val="0"/>
          <w:numId w:val="6"/>
        </w:numPr>
        <w:pBdr>
          <w:top w:val="nil"/>
          <w:left w:val="nil"/>
          <w:bottom w:val="nil"/>
          <w:right w:val="nil"/>
          <w:between w:val="nil"/>
        </w:pBdr>
        <w:tabs>
          <w:tab w:val="left" w:pos="284"/>
        </w:tabs>
        <w:spacing w:line="276" w:lineRule="auto"/>
        <w:ind w:left="0" w:firstLine="0"/>
        <w:jc w:val="both"/>
        <w:rPr>
          <w:rFonts w:ascii="Arial Narrow" w:eastAsia="Arial Narrow" w:hAnsi="Arial Narrow" w:cs="Arial Narrow"/>
          <w:b/>
          <w:color w:val="000000"/>
          <w:sz w:val="22"/>
          <w:szCs w:val="22"/>
        </w:rPr>
      </w:pPr>
      <w:r>
        <w:rPr>
          <w:rFonts w:ascii="Arial Narrow" w:eastAsia="Arial Narrow" w:hAnsi="Arial Narrow" w:cs="Arial Narrow"/>
          <w:b/>
          <w:sz w:val="22"/>
          <w:szCs w:val="22"/>
        </w:rPr>
        <w:lastRenderedPageBreak/>
        <w:t xml:space="preserve">INICIATIVA Y </w:t>
      </w:r>
      <w:r>
        <w:rPr>
          <w:rFonts w:ascii="Arial Narrow" w:eastAsia="Arial Narrow" w:hAnsi="Arial Narrow" w:cs="Arial Narrow"/>
          <w:b/>
          <w:color w:val="000000"/>
          <w:sz w:val="22"/>
          <w:szCs w:val="22"/>
        </w:rPr>
        <w:t xml:space="preserve">COMPETENCIA DEL CONCEJO DE </w:t>
      </w:r>
      <w:r>
        <w:rPr>
          <w:rFonts w:ascii="Arial Narrow" w:eastAsia="Arial Narrow" w:hAnsi="Arial Narrow" w:cs="Arial Narrow"/>
          <w:b/>
          <w:sz w:val="22"/>
          <w:szCs w:val="22"/>
        </w:rPr>
        <w:t>BOGOTÁ</w:t>
      </w:r>
    </w:p>
    <w:p w:rsidR="009F0B88" w:rsidRDefault="009F0B88">
      <w:pPr>
        <w:keepNext/>
        <w:keepLines/>
        <w:pBdr>
          <w:top w:val="nil"/>
          <w:left w:val="nil"/>
          <w:bottom w:val="nil"/>
          <w:right w:val="nil"/>
          <w:between w:val="nil"/>
        </w:pBdr>
        <w:tabs>
          <w:tab w:val="left" w:pos="284"/>
        </w:tabs>
        <w:spacing w:line="276" w:lineRule="auto"/>
        <w:ind w:left="720"/>
        <w:jc w:val="both"/>
        <w:rPr>
          <w:rFonts w:ascii="Arial Narrow" w:eastAsia="Arial Narrow" w:hAnsi="Arial Narrow" w:cs="Arial Narrow"/>
          <w:b/>
          <w:sz w:val="22"/>
          <w:szCs w:val="22"/>
        </w:rPr>
      </w:pPr>
    </w:p>
    <w:p w:rsidR="009F0B88" w:rsidRDefault="00B90476">
      <w:pPr>
        <w:keepNext/>
        <w:keepLines/>
        <w:pBdr>
          <w:top w:val="nil"/>
          <w:left w:val="nil"/>
          <w:bottom w:val="nil"/>
          <w:right w:val="nil"/>
          <w:between w:val="nil"/>
        </w:pBdr>
        <w:tabs>
          <w:tab w:val="left" w:pos="284"/>
        </w:tabs>
        <w:spacing w:line="276" w:lineRule="auto"/>
        <w:jc w:val="both"/>
        <w:rPr>
          <w:rFonts w:ascii="Arial Narrow" w:eastAsia="Arial Narrow" w:hAnsi="Arial Narrow" w:cs="Arial Narrow"/>
          <w:sz w:val="22"/>
          <w:szCs w:val="22"/>
        </w:rPr>
      </w:pPr>
      <w:r>
        <w:rPr>
          <w:rFonts w:ascii="Arial Narrow" w:eastAsia="Arial Narrow" w:hAnsi="Arial Narrow" w:cs="Arial Narrow"/>
          <w:sz w:val="22"/>
          <w:szCs w:val="22"/>
        </w:rPr>
        <w:t>El análisis de la iniciativa y competencia se aborda desde dos ámbitos; la primera que contempla la posición del autor del proyecto de acuerdo, y el segundo que integra las consideraciones del ponente tal como se presenta a continuación:</w:t>
      </w:r>
    </w:p>
    <w:p w:rsidR="009F0B88" w:rsidRDefault="009F0B88">
      <w:pPr>
        <w:spacing w:line="276" w:lineRule="auto"/>
        <w:jc w:val="both"/>
        <w:rPr>
          <w:rFonts w:ascii="Arial Narrow" w:eastAsia="Arial Narrow" w:hAnsi="Arial Narrow" w:cs="Arial Narrow"/>
          <w:sz w:val="22"/>
          <w:szCs w:val="22"/>
        </w:rPr>
      </w:pPr>
    </w:p>
    <w:p w:rsidR="009F0B88" w:rsidRDefault="00B90476">
      <w:pPr>
        <w:keepNext/>
        <w:keepLines/>
        <w:numPr>
          <w:ilvl w:val="1"/>
          <w:numId w:val="6"/>
        </w:numPr>
        <w:pBdr>
          <w:top w:val="nil"/>
          <w:left w:val="nil"/>
          <w:bottom w:val="nil"/>
          <w:right w:val="nil"/>
          <w:between w:val="nil"/>
        </w:pBdr>
        <w:tabs>
          <w:tab w:val="left" w:pos="567"/>
          <w:tab w:val="left" w:pos="284"/>
        </w:tabs>
        <w:spacing w:line="276" w:lineRule="auto"/>
        <w:ind w:left="0" w:firstLine="0"/>
        <w:jc w:val="both"/>
        <w:rPr>
          <w:rFonts w:ascii="Arial Narrow" w:eastAsia="Arial Narrow" w:hAnsi="Arial Narrow" w:cs="Arial Narrow"/>
          <w:b/>
          <w:color w:val="000000"/>
          <w:sz w:val="22"/>
          <w:szCs w:val="22"/>
        </w:rPr>
      </w:pPr>
      <w:r>
        <w:rPr>
          <w:rFonts w:ascii="Arial Narrow" w:eastAsia="Arial Narrow" w:hAnsi="Arial Narrow" w:cs="Arial Narrow"/>
          <w:b/>
          <w:color w:val="000000"/>
          <w:sz w:val="22"/>
          <w:szCs w:val="22"/>
        </w:rPr>
        <w:t xml:space="preserve">Según el </w:t>
      </w:r>
      <w:r>
        <w:rPr>
          <w:rFonts w:ascii="Arial Narrow" w:eastAsia="Arial Narrow" w:hAnsi="Arial Narrow" w:cs="Arial Narrow"/>
          <w:b/>
          <w:sz w:val="22"/>
          <w:szCs w:val="22"/>
        </w:rPr>
        <w:t>ponente</w:t>
      </w:r>
      <w:r>
        <w:rPr>
          <w:rFonts w:ascii="Arial Narrow" w:eastAsia="Arial Narrow" w:hAnsi="Arial Narrow" w:cs="Arial Narrow"/>
          <w:b/>
          <w:color w:val="000000"/>
          <w:sz w:val="22"/>
          <w:szCs w:val="22"/>
        </w:rPr>
        <w:t>.</w:t>
      </w:r>
    </w:p>
    <w:p w:rsidR="009F0B88" w:rsidRDefault="009F0B88">
      <w:pPr>
        <w:spacing w:line="276" w:lineRule="auto"/>
        <w:jc w:val="both"/>
        <w:rPr>
          <w:rFonts w:ascii="Arial Narrow" w:eastAsia="Arial Narrow" w:hAnsi="Arial Narrow" w:cs="Arial Narrow"/>
          <w:b/>
          <w:sz w:val="22"/>
          <w:szCs w:val="22"/>
        </w:rPr>
      </w:pPr>
    </w:p>
    <w:p w:rsidR="009F0B88" w:rsidRDefault="00B90476">
      <w:pPr>
        <w:ind w:left="720"/>
        <w:jc w:val="both"/>
        <w:rPr>
          <w:rFonts w:ascii="Arial Narrow" w:eastAsia="Arial Narrow" w:hAnsi="Arial Narrow" w:cs="Arial Narrow"/>
          <w:color w:val="000000"/>
          <w:sz w:val="22"/>
          <w:szCs w:val="22"/>
          <w:highlight w:val="white"/>
        </w:rPr>
      </w:pPr>
      <w:r>
        <w:rPr>
          <w:rFonts w:ascii="Arial Narrow" w:eastAsia="Arial Narrow" w:hAnsi="Arial Narrow" w:cs="Arial Narrow"/>
          <w:sz w:val="22"/>
          <w:szCs w:val="22"/>
        </w:rPr>
        <w:t xml:space="preserve">El Concejo de Bogotá es competente para estudiar y aprobar o improbar el </w:t>
      </w:r>
      <w:proofErr w:type="gramStart"/>
      <w:r>
        <w:rPr>
          <w:rFonts w:ascii="Arial Narrow" w:eastAsia="Arial Narrow" w:hAnsi="Arial Narrow" w:cs="Arial Narrow"/>
          <w:sz w:val="22"/>
          <w:szCs w:val="22"/>
        </w:rPr>
        <w:t>presente  proyecto</w:t>
      </w:r>
      <w:proofErr w:type="gramEnd"/>
      <w:r>
        <w:rPr>
          <w:rFonts w:ascii="Arial Narrow" w:eastAsia="Arial Narrow" w:hAnsi="Arial Narrow" w:cs="Arial Narrow"/>
          <w:sz w:val="22"/>
          <w:szCs w:val="22"/>
        </w:rPr>
        <w:t xml:space="preserve"> de acuerdo en virtud de lo establecido en el Artículo 12 del Decreto ley  1421 de 1993, que faculta a la Corporación para  dictar normas así:  </w:t>
      </w:r>
    </w:p>
    <w:p w:rsidR="009F0B88" w:rsidRDefault="00B90476">
      <w:pPr>
        <w:pBdr>
          <w:top w:val="nil"/>
          <w:left w:val="nil"/>
          <w:bottom w:val="nil"/>
          <w:right w:val="nil"/>
          <w:between w:val="nil"/>
        </w:pBdr>
        <w:spacing w:line="276" w:lineRule="auto"/>
        <w:ind w:left="360"/>
        <w:jc w:val="both"/>
        <w:rPr>
          <w:rFonts w:ascii="Arial Narrow" w:eastAsia="Arial Narrow" w:hAnsi="Arial Narrow" w:cs="Arial Narrow"/>
          <w:color w:val="000000"/>
          <w:sz w:val="22"/>
          <w:szCs w:val="22"/>
          <w:highlight w:val="white"/>
        </w:rPr>
      </w:pPr>
      <w:r>
        <w:rPr>
          <w:rFonts w:ascii="Arial Narrow" w:eastAsia="Arial Narrow" w:hAnsi="Arial Narrow" w:cs="Arial Narrow"/>
          <w:color w:val="000000"/>
          <w:sz w:val="22"/>
          <w:szCs w:val="22"/>
          <w:highlight w:val="white"/>
        </w:rPr>
        <w:t xml:space="preserve"> </w:t>
      </w:r>
    </w:p>
    <w:p w:rsidR="009F0B88" w:rsidRDefault="00B90476">
      <w:pPr>
        <w:pBdr>
          <w:top w:val="nil"/>
          <w:left w:val="nil"/>
          <w:bottom w:val="nil"/>
          <w:right w:val="nil"/>
          <w:between w:val="nil"/>
        </w:pBdr>
        <w:spacing w:line="276" w:lineRule="auto"/>
        <w:jc w:val="both"/>
        <w:rPr>
          <w:rFonts w:ascii="Arial Narrow" w:eastAsia="Arial Narrow" w:hAnsi="Arial Narrow" w:cs="Arial Narrow"/>
          <w:color w:val="000000"/>
          <w:sz w:val="22"/>
          <w:szCs w:val="22"/>
          <w:highlight w:val="white"/>
        </w:rPr>
      </w:pPr>
      <w:r>
        <w:rPr>
          <w:rFonts w:ascii="Arial Narrow" w:eastAsia="Arial Narrow" w:hAnsi="Arial Narrow" w:cs="Arial Narrow"/>
          <w:b/>
          <w:color w:val="000000"/>
          <w:sz w:val="22"/>
          <w:szCs w:val="22"/>
          <w:highlight w:val="white"/>
        </w:rPr>
        <w:t>Decreto ley 1421 de 1993</w:t>
      </w:r>
      <w:r>
        <w:rPr>
          <w:rFonts w:ascii="Arial Narrow" w:eastAsia="Arial Narrow" w:hAnsi="Arial Narrow" w:cs="Arial Narrow"/>
          <w:color w:val="000000"/>
          <w:sz w:val="22"/>
          <w:szCs w:val="22"/>
          <w:highlight w:val="white"/>
        </w:rPr>
        <w:t xml:space="preserve"> “Por el cual se dicta el régimen especial para el Distrito Capital de Santafé de Bogotá”</w:t>
      </w:r>
    </w:p>
    <w:p w:rsidR="009F0B88" w:rsidRDefault="009F0B88">
      <w:pPr>
        <w:pBdr>
          <w:top w:val="nil"/>
          <w:left w:val="nil"/>
          <w:bottom w:val="nil"/>
          <w:right w:val="nil"/>
          <w:between w:val="nil"/>
        </w:pBdr>
        <w:spacing w:line="276" w:lineRule="auto"/>
        <w:ind w:left="1800"/>
        <w:jc w:val="both"/>
        <w:rPr>
          <w:rFonts w:ascii="Arial Narrow" w:eastAsia="Arial Narrow" w:hAnsi="Arial Narrow" w:cs="Arial Narrow"/>
          <w:i/>
          <w:color w:val="000000"/>
          <w:sz w:val="22"/>
          <w:szCs w:val="22"/>
          <w:highlight w:val="white"/>
        </w:rPr>
      </w:pPr>
    </w:p>
    <w:p w:rsidR="009F0B88" w:rsidRDefault="00B90476">
      <w:pPr>
        <w:pBdr>
          <w:top w:val="nil"/>
          <w:left w:val="nil"/>
          <w:bottom w:val="nil"/>
          <w:right w:val="nil"/>
          <w:between w:val="nil"/>
        </w:pBdr>
        <w:spacing w:line="276" w:lineRule="auto"/>
        <w:ind w:left="720"/>
        <w:jc w:val="both"/>
        <w:rPr>
          <w:rFonts w:ascii="Arial Narrow" w:eastAsia="Arial Narrow" w:hAnsi="Arial Narrow" w:cs="Arial Narrow"/>
          <w:i/>
          <w:sz w:val="22"/>
          <w:szCs w:val="22"/>
          <w:highlight w:val="white"/>
        </w:rPr>
      </w:pPr>
      <w:r>
        <w:rPr>
          <w:rFonts w:ascii="Arial Narrow" w:eastAsia="Arial Narrow" w:hAnsi="Arial Narrow" w:cs="Arial Narrow"/>
          <w:i/>
          <w:sz w:val="22"/>
          <w:szCs w:val="22"/>
        </w:rPr>
        <w:t>“</w:t>
      </w:r>
      <w:r>
        <w:rPr>
          <w:rFonts w:ascii="Arial Narrow" w:eastAsia="Arial Narrow" w:hAnsi="Arial Narrow" w:cs="Arial Narrow"/>
          <w:b/>
          <w:i/>
          <w:sz w:val="22"/>
          <w:szCs w:val="22"/>
          <w:highlight w:val="white"/>
        </w:rPr>
        <w:t>Artículo 12.</w:t>
      </w:r>
      <w:r>
        <w:rPr>
          <w:rFonts w:ascii="Arial Narrow" w:eastAsia="Arial Narrow" w:hAnsi="Arial Narrow" w:cs="Arial Narrow"/>
          <w:i/>
          <w:sz w:val="22"/>
          <w:szCs w:val="22"/>
          <w:highlight w:val="white"/>
        </w:rPr>
        <w:t xml:space="preserve"> Atribuciones. Corresponde al Concejo Distrital, de conformidad con la Constitución y a la ley:</w:t>
      </w:r>
    </w:p>
    <w:p w:rsidR="009F0B88" w:rsidRDefault="009F0B88">
      <w:pPr>
        <w:pBdr>
          <w:top w:val="nil"/>
          <w:left w:val="nil"/>
          <w:bottom w:val="nil"/>
          <w:right w:val="nil"/>
          <w:between w:val="nil"/>
        </w:pBdr>
        <w:spacing w:line="276" w:lineRule="auto"/>
        <w:ind w:left="720"/>
        <w:jc w:val="both"/>
        <w:rPr>
          <w:rFonts w:ascii="Arial Narrow" w:eastAsia="Arial Narrow" w:hAnsi="Arial Narrow" w:cs="Arial Narrow"/>
          <w:i/>
          <w:sz w:val="22"/>
          <w:szCs w:val="22"/>
          <w:highlight w:val="white"/>
        </w:rPr>
      </w:pPr>
    </w:p>
    <w:p w:rsidR="009F0B88" w:rsidRDefault="00B90476">
      <w:pPr>
        <w:pBdr>
          <w:top w:val="nil"/>
          <w:left w:val="nil"/>
          <w:bottom w:val="nil"/>
          <w:right w:val="nil"/>
          <w:between w:val="nil"/>
        </w:pBdr>
        <w:spacing w:line="276" w:lineRule="auto"/>
        <w:ind w:left="720"/>
        <w:jc w:val="both"/>
        <w:rPr>
          <w:rFonts w:ascii="Arial Narrow" w:eastAsia="Arial Narrow" w:hAnsi="Arial Narrow" w:cs="Arial Narrow"/>
          <w:i/>
          <w:sz w:val="22"/>
          <w:szCs w:val="22"/>
          <w:highlight w:val="white"/>
        </w:rPr>
      </w:pPr>
      <w:r>
        <w:rPr>
          <w:rFonts w:ascii="Arial Narrow" w:eastAsia="Arial Narrow" w:hAnsi="Arial Narrow" w:cs="Arial Narrow"/>
          <w:i/>
          <w:sz w:val="22"/>
          <w:szCs w:val="22"/>
          <w:highlight w:val="white"/>
        </w:rPr>
        <w:t>1. Dictar las normas necesarias para garantizar el adecuado cumplimiento de las funciones y la eficiente prestación de los servicios a cargo del Distrito.  (…)</w:t>
      </w:r>
    </w:p>
    <w:p w:rsidR="009F0B88" w:rsidRDefault="00B90476">
      <w:pPr>
        <w:pBdr>
          <w:top w:val="nil"/>
          <w:left w:val="nil"/>
          <w:bottom w:val="nil"/>
          <w:right w:val="nil"/>
          <w:between w:val="nil"/>
        </w:pBdr>
        <w:spacing w:line="276" w:lineRule="auto"/>
        <w:ind w:left="720"/>
        <w:jc w:val="both"/>
        <w:rPr>
          <w:rFonts w:ascii="Arial Narrow" w:eastAsia="Arial Narrow" w:hAnsi="Arial Narrow" w:cs="Arial Narrow"/>
          <w:i/>
          <w:sz w:val="22"/>
          <w:szCs w:val="22"/>
          <w:highlight w:val="white"/>
        </w:rPr>
      </w:pPr>
      <w:r>
        <w:rPr>
          <w:rFonts w:ascii="Arial Narrow" w:eastAsia="Arial Narrow" w:hAnsi="Arial Narrow" w:cs="Arial Narrow"/>
          <w:i/>
          <w:sz w:val="22"/>
          <w:szCs w:val="22"/>
          <w:highlight w:val="white"/>
        </w:rPr>
        <w:t>25. Cumplir las demás funciones que le asignen las disposiciones vigentes. (…)</w:t>
      </w:r>
    </w:p>
    <w:p w:rsidR="009F0B88" w:rsidRDefault="009F0B88">
      <w:pPr>
        <w:pBdr>
          <w:top w:val="nil"/>
          <w:left w:val="nil"/>
          <w:bottom w:val="nil"/>
          <w:right w:val="nil"/>
          <w:between w:val="nil"/>
        </w:pBdr>
        <w:spacing w:line="276" w:lineRule="auto"/>
        <w:ind w:left="720"/>
        <w:jc w:val="both"/>
        <w:rPr>
          <w:rFonts w:ascii="Arial Narrow" w:eastAsia="Arial Narrow" w:hAnsi="Arial Narrow" w:cs="Arial Narrow"/>
          <w:i/>
          <w:sz w:val="22"/>
          <w:szCs w:val="22"/>
          <w:highlight w:val="white"/>
        </w:rPr>
      </w:pPr>
    </w:p>
    <w:p w:rsidR="009F0B88" w:rsidRDefault="00B90476">
      <w:pPr>
        <w:pBdr>
          <w:top w:val="nil"/>
          <w:left w:val="nil"/>
          <w:bottom w:val="nil"/>
          <w:right w:val="nil"/>
          <w:between w:val="nil"/>
        </w:pBdr>
        <w:spacing w:line="276" w:lineRule="auto"/>
        <w:ind w:left="720"/>
        <w:jc w:val="both"/>
        <w:rPr>
          <w:rFonts w:ascii="Arial Narrow" w:eastAsia="Arial Narrow" w:hAnsi="Arial Narrow" w:cs="Arial Narrow"/>
          <w:sz w:val="22"/>
          <w:szCs w:val="22"/>
          <w:highlight w:val="white"/>
        </w:rPr>
      </w:pPr>
      <w:r>
        <w:rPr>
          <w:rFonts w:ascii="Arial Narrow" w:eastAsia="Arial Narrow" w:hAnsi="Arial Narrow" w:cs="Arial Narrow"/>
          <w:sz w:val="22"/>
          <w:szCs w:val="22"/>
          <w:highlight w:val="white"/>
        </w:rPr>
        <w:t xml:space="preserve">El </w:t>
      </w:r>
      <w:r>
        <w:rPr>
          <w:rFonts w:ascii="Arial Narrow" w:eastAsia="Arial Narrow" w:hAnsi="Arial Narrow" w:cs="Arial Narrow"/>
          <w:b/>
          <w:sz w:val="22"/>
          <w:szCs w:val="22"/>
          <w:highlight w:val="white"/>
        </w:rPr>
        <w:t>Decreto Ley 1421 de 1993</w:t>
      </w:r>
      <w:r>
        <w:rPr>
          <w:rFonts w:ascii="Arial Narrow" w:eastAsia="Arial Narrow" w:hAnsi="Arial Narrow" w:cs="Arial Narrow"/>
          <w:sz w:val="22"/>
          <w:szCs w:val="22"/>
          <w:highlight w:val="white"/>
        </w:rPr>
        <w:t xml:space="preserve">, establece el régimen especial para el Distrito Capital de Santafé de Bogotá y organiza la estructura política y administrativa de la ciudad, otorgando competencias y responsabilidades al Concejo Distrital. El </w:t>
      </w:r>
      <w:r>
        <w:rPr>
          <w:rFonts w:ascii="Arial Narrow" w:eastAsia="Arial Narrow" w:hAnsi="Arial Narrow" w:cs="Arial Narrow"/>
          <w:b/>
          <w:sz w:val="22"/>
          <w:szCs w:val="22"/>
          <w:highlight w:val="white"/>
        </w:rPr>
        <w:t>artículo 12</w:t>
      </w:r>
      <w:r>
        <w:rPr>
          <w:rFonts w:ascii="Arial Narrow" w:eastAsia="Arial Narrow" w:hAnsi="Arial Narrow" w:cs="Arial Narrow"/>
          <w:sz w:val="22"/>
          <w:szCs w:val="22"/>
          <w:highlight w:val="white"/>
        </w:rPr>
        <w:t xml:space="preserve"> de este decreto menciona las atribuciones del Concejo, lo que es crucial para entender el marco de actuación de las autoridades locales.</w:t>
      </w:r>
    </w:p>
    <w:p w:rsidR="009F0B88" w:rsidRDefault="009F0B88">
      <w:pPr>
        <w:pBdr>
          <w:top w:val="nil"/>
          <w:left w:val="nil"/>
          <w:bottom w:val="nil"/>
          <w:right w:val="nil"/>
          <w:between w:val="nil"/>
        </w:pBdr>
        <w:spacing w:line="276" w:lineRule="auto"/>
        <w:jc w:val="both"/>
        <w:rPr>
          <w:rFonts w:ascii="Arial Narrow" w:eastAsia="Arial Narrow" w:hAnsi="Arial Narrow" w:cs="Arial Narrow"/>
          <w:i/>
          <w:sz w:val="22"/>
          <w:szCs w:val="22"/>
        </w:rPr>
      </w:pPr>
    </w:p>
    <w:p w:rsidR="009F0B88" w:rsidRDefault="00B90476">
      <w:pPr>
        <w:keepNext/>
        <w:keepLines/>
        <w:numPr>
          <w:ilvl w:val="0"/>
          <w:numId w:val="6"/>
        </w:numPr>
        <w:pBdr>
          <w:top w:val="nil"/>
          <w:left w:val="nil"/>
          <w:bottom w:val="nil"/>
          <w:right w:val="nil"/>
          <w:between w:val="nil"/>
        </w:pBdr>
        <w:tabs>
          <w:tab w:val="left" w:pos="284"/>
        </w:tabs>
        <w:spacing w:line="276" w:lineRule="auto"/>
        <w:ind w:left="0" w:firstLine="0"/>
        <w:jc w:val="both"/>
        <w:rPr>
          <w:rFonts w:ascii="Arial Narrow" w:eastAsia="Arial Narrow" w:hAnsi="Arial Narrow" w:cs="Arial Narrow"/>
          <w:b/>
          <w:color w:val="000000"/>
          <w:sz w:val="22"/>
          <w:szCs w:val="22"/>
        </w:rPr>
      </w:pPr>
      <w:r>
        <w:rPr>
          <w:rFonts w:ascii="Arial Narrow" w:eastAsia="Arial Narrow" w:hAnsi="Arial Narrow" w:cs="Arial Narrow"/>
          <w:b/>
          <w:color w:val="000000"/>
          <w:sz w:val="22"/>
          <w:szCs w:val="22"/>
        </w:rPr>
        <w:t xml:space="preserve">CONSTITUCIONALIDAD Y LEGALIDAD </w:t>
      </w:r>
    </w:p>
    <w:p w:rsidR="009F0B88" w:rsidRDefault="009F0B88">
      <w:pPr>
        <w:keepNext/>
        <w:keepLines/>
        <w:pBdr>
          <w:top w:val="nil"/>
          <w:left w:val="nil"/>
          <w:bottom w:val="nil"/>
          <w:right w:val="nil"/>
          <w:between w:val="nil"/>
        </w:pBdr>
        <w:tabs>
          <w:tab w:val="left" w:pos="284"/>
        </w:tabs>
        <w:spacing w:line="276" w:lineRule="auto"/>
        <w:jc w:val="both"/>
        <w:rPr>
          <w:rFonts w:ascii="Arial Narrow" w:eastAsia="Arial Narrow" w:hAnsi="Arial Narrow" w:cs="Arial Narrow"/>
          <w:b/>
          <w:color w:val="000000"/>
          <w:sz w:val="22"/>
          <w:szCs w:val="22"/>
        </w:rPr>
      </w:pPr>
    </w:p>
    <w:p w:rsidR="009F0B88" w:rsidRDefault="00B90476">
      <w:pPr>
        <w:keepNext/>
        <w:keepLines/>
        <w:pBdr>
          <w:top w:val="nil"/>
          <w:left w:val="nil"/>
          <w:bottom w:val="nil"/>
          <w:right w:val="nil"/>
          <w:between w:val="nil"/>
        </w:pBdr>
        <w:tabs>
          <w:tab w:val="left" w:pos="284"/>
        </w:tabs>
        <w:spacing w:line="276" w:lineRule="auto"/>
        <w:jc w:val="both"/>
        <w:rPr>
          <w:rFonts w:ascii="Arial Narrow" w:eastAsia="Arial Narrow" w:hAnsi="Arial Narrow" w:cs="Arial Narrow"/>
          <w:b/>
          <w:sz w:val="22"/>
          <w:szCs w:val="22"/>
        </w:rPr>
      </w:pPr>
      <w:r>
        <w:rPr>
          <w:rFonts w:ascii="Arial Narrow" w:eastAsia="Arial Narrow" w:hAnsi="Arial Narrow" w:cs="Arial Narrow"/>
          <w:b/>
          <w:color w:val="000000"/>
          <w:sz w:val="22"/>
          <w:szCs w:val="22"/>
        </w:rPr>
        <w:t>4.1. Según el autor de la iniciativa.</w:t>
      </w:r>
    </w:p>
    <w:p w:rsidR="009F0B88" w:rsidRDefault="00B90476">
      <w:pPr>
        <w:spacing w:before="240" w:after="240"/>
        <w:jc w:val="both"/>
        <w:rPr>
          <w:rFonts w:ascii="Arial Narrow" w:eastAsia="Arial Narrow" w:hAnsi="Arial Narrow" w:cs="Arial Narrow"/>
          <w:b/>
          <w:sz w:val="22"/>
          <w:szCs w:val="22"/>
        </w:rPr>
      </w:pPr>
      <w:r>
        <w:rPr>
          <w:rFonts w:ascii="Arial Narrow" w:eastAsia="Arial Narrow" w:hAnsi="Arial Narrow" w:cs="Arial Narrow"/>
          <w:b/>
          <w:sz w:val="22"/>
          <w:szCs w:val="22"/>
        </w:rPr>
        <w:t>MARCO INTERNACIONAL</w:t>
      </w:r>
    </w:p>
    <w:p w:rsidR="009F0B88" w:rsidRDefault="00B90476">
      <w:pPr>
        <w:spacing w:before="240" w:after="240"/>
        <w:jc w:val="both"/>
        <w:rPr>
          <w:rFonts w:ascii="Arial Narrow" w:eastAsia="Arial Narrow" w:hAnsi="Arial Narrow" w:cs="Arial Narrow"/>
          <w:b/>
          <w:sz w:val="22"/>
          <w:szCs w:val="22"/>
        </w:rPr>
      </w:pPr>
      <w:r>
        <w:rPr>
          <w:rFonts w:ascii="Arial Narrow" w:eastAsia="Arial Narrow" w:hAnsi="Arial Narrow" w:cs="Arial Narrow"/>
          <w:b/>
          <w:sz w:val="22"/>
          <w:szCs w:val="22"/>
        </w:rPr>
        <w:t>Objetivos de Desarrollo Sostenible (ODS)</w:t>
      </w:r>
    </w:p>
    <w:p w:rsidR="009F0B88" w:rsidRDefault="00B90476">
      <w:pPr>
        <w:spacing w:before="240" w:after="240"/>
        <w:jc w:val="both"/>
        <w:rPr>
          <w:rFonts w:ascii="Arial Narrow" w:eastAsia="Arial Narrow" w:hAnsi="Arial Narrow" w:cs="Arial Narrow"/>
          <w:sz w:val="22"/>
          <w:szCs w:val="22"/>
        </w:rPr>
      </w:pPr>
      <w:r>
        <w:rPr>
          <w:rFonts w:ascii="Arial Narrow" w:eastAsia="Arial Narrow" w:hAnsi="Arial Narrow" w:cs="Arial Narrow"/>
          <w:b/>
          <w:sz w:val="22"/>
          <w:szCs w:val="22"/>
        </w:rPr>
        <w:br/>
        <w:t>ODS 3: Salud y Bienestar</w:t>
      </w:r>
      <w:r>
        <w:rPr>
          <w:rFonts w:ascii="Arial Narrow" w:eastAsia="Arial Narrow" w:hAnsi="Arial Narrow" w:cs="Arial Narrow"/>
          <w:b/>
          <w:sz w:val="22"/>
          <w:szCs w:val="22"/>
        </w:rPr>
        <w:br/>
      </w:r>
      <w:r>
        <w:rPr>
          <w:rFonts w:ascii="Arial Narrow" w:eastAsia="Arial Narrow" w:hAnsi="Arial Narrow" w:cs="Arial Narrow"/>
          <w:sz w:val="22"/>
          <w:szCs w:val="22"/>
        </w:rPr>
        <w:t>La meta 3.9 busca reducir las muertes y enfermedades causadas por productos peligrosos y la contaminación del aire, agua y suelo para 2030. Es fundamental porque la contaminación es una de las principales causas de enfermedades y muertes prematuras, afectando a la salud pública y el medio ambiente, lo que subraya la necesidad de políticas que protejan la salud de los ciudadanos.</w:t>
      </w:r>
    </w:p>
    <w:p w:rsidR="009F0B88" w:rsidRDefault="00B90476">
      <w:pPr>
        <w:spacing w:before="240" w:after="240"/>
        <w:jc w:val="both"/>
        <w:rPr>
          <w:rFonts w:ascii="Arial Narrow" w:eastAsia="Arial Narrow" w:hAnsi="Arial Narrow" w:cs="Arial Narrow"/>
          <w:sz w:val="22"/>
          <w:szCs w:val="22"/>
        </w:rPr>
      </w:pPr>
      <w:r>
        <w:rPr>
          <w:rFonts w:ascii="Arial Narrow" w:eastAsia="Arial Narrow" w:hAnsi="Arial Narrow" w:cs="Arial Narrow"/>
          <w:b/>
          <w:sz w:val="22"/>
          <w:szCs w:val="22"/>
        </w:rPr>
        <w:t>ODS 6: Agua limpia y saneamiento</w:t>
      </w:r>
      <w:r>
        <w:rPr>
          <w:rFonts w:ascii="Arial Narrow" w:eastAsia="Arial Narrow" w:hAnsi="Arial Narrow" w:cs="Arial Narrow"/>
          <w:b/>
          <w:sz w:val="22"/>
          <w:szCs w:val="22"/>
        </w:rPr>
        <w:br/>
      </w:r>
      <w:r>
        <w:rPr>
          <w:rFonts w:ascii="Arial Narrow" w:eastAsia="Arial Narrow" w:hAnsi="Arial Narrow" w:cs="Arial Narrow"/>
          <w:sz w:val="22"/>
          <w:szCs w:val="22"/>
        </w:rPr>
        <w:t xml:space="preserve">La meta 6.2 tiene como objetivo lograr el acceso a servicios de saneamiento adecuados y equitativos para todos. La </w:t>
      </w:r>
      <w:r>
        <w:rPr>
          <w:rFonts w:ascii="Arial Narrow" w:eastAsia="Arial Narrow" w:hAnsi="Arial Narrow" w:cs="Arial Narrow"/>
          <w:sz w:val="22"/>
          <w:szCs w:val="22"/>
        </w:rPr>
        <w:lastRenderedPageBreak/>
        <w:t>falta de acceso a agua potable y servicios sanitarios adecuados tiene un impacto negativo en la salud pública, y garantizar estos servicios es esencial para prevenir enfermedades y promover un entorno saludable.</w:t>
      </w:r>
    </w:p>
    <w:p w:rsidR="009F0B88" w:rsidRDefault="00B90476">
      <w:pPr>
        <w:spacing w:before="240" w:after="240"/>
        <w:jc w:val="both"/>
        <w:rPr>
          <w:rFonts w:ascii="Arial Narrow" w:eastAsia="Arial Narrow" w:hAnsi="Arial Narrow" w:cs="Arial Narrow"/>
          <w:b/>
          <w:sz w:val="22"/>
          <w:szCs w:val="22"/>
        </w:rPr>
      </w:pPr>
      <w:r>
        <w:rPr>
          <w:rFonts w:ascii="Arial Narrow" w:eastAsia="Arial Narrow" w:hAnsi="Arial Narrow" w:cs="Arial Narrow"/>
          <w:b/>
          <w:sz w:val="22"/>
          <w:szCs w:val="22"/>
        </w:rPr>
        <w:t>CONSTITUCIÓN POLÍTICA</w:t>
      </w:r>
    </w:p>
    <w:p w:rsidR="009F0B88" w:rsidRDefault="00B90476">
      <w:pPr>
        <w:spacing w:before="240" w:after="240"/>
        <w:jc w:val="both"/>
        <w:rPr>
          <w:rFonts w:ascii="Arial Narrow" w:eastAsia="Arial Narrow" w:hAnsi="Arial Narrow" w:cs="Arial Narrow"/>
          <w:sz w:val="22"/>
          <w:szCs w:val="22"/>
        </w:rPr>
      </w:pPr>
      <w:r>
        <w:rPr>
          <w:rFonts w:ascii="Arial Narrow" w:eastAsia="Arial Narrow" w:hAnsi="Arial Narrow" w:cs="Arial Narrow"/>
          <w:b/>
          <w:sz w:val="22"/>
          <w:szCs w:val="22"/>
        </w:rPr>
        <w:t>Artículo 49:</w:t>
      </w:r>
      <w:r>
        <w:rPr>
          <w:rFonts w:ascii="Arial Narrow" w:eastAsia="Arial Narrow" w:hAnsi="Arial Narrow" w:cs="Arial Narrow"/>
          <w:b/>
          <w:sz w:val="22"/>
          <w:szCs w:val="22"/>
        </w:rPr>
        <w:br/>
      </w:r>
      <w:r>
        <w:rPr>
          <w:rFonts w:ascii="Arial Narrow" w:eastAsia="Arial Narrow" w:hAnsi="Arial Narrow" w:cs="Arial Narrow"/>
          <w:sz w:val="22"/>
          <w:szCs w:val="22"/>
        </w:rPr>
        <w:t>La Constitución establece que la atención de la salud y el saneamiento ambiental son servicios públicos a cargo del Estado, garantizando el acceso universal y gratuito. Este principio asegura que todos los ciudadanos, sin importar su situación económica, tengan derecho a la salud y un ambiente saludable, lo que es esencial para el bienestar de la población.</w:t>
      </w:r>
    </w:p>
    <w:p w:rsidR="009F0B88" w:rsidRDefault="00B90476">
      <w:pPr>
        <w:spacing w:before="240" w:after="240"/>
        <w:jc w:val="both"/>
        <w:rPr>
          <w:rFonts w:ascii="Arial Narrow" w:eastAsia="Arial Narrow" w:hAnsi="Arial Narrow" w:cs="Arial Narrow"/>
          <w:sz w:val="22"/>
          <w:szCs w:val="22"/>
        </w:rPr>
      </w:pPr>
      <w:r>
        <w:rPr>
          <w:rFonts w:ascii="Arial Narrow" w:eastAsia="Arial Narrow" w:hAnsi="Arial Narrow" w:cs="Arial Narrow"/>
          <w:b/>
          <w:sz w:val="22"/>
          <w:szCs w:val="22"/>
        </w:rPr>
        <w:t>Artículo 78:</w:t>
      </w:r>
      <w:r>
        <w:rPr>
          <w:rFonts w:ascii="Arial Narrow" w:eastAsia="Arial Narrow" w:hAnsi="Arial Narrow" w:cs="Arial Narrow"/>
          <w:b/>
          <w:sz w:val="22"/>
          <w:szCs w:val="22"/>
        </w:rPr>
        <w:br/>
      </w:r>
      <w:r>
        <w:rPr>
          <w:rFonts w:ascii="Arial Narrow" w:eastAsia="Arial Narrow" w:hAnsi="Arial Narrow" w:cs="Arial Narrow"/>
          <w:sz w:val="22"/>
          <w:szCs w:val="22"/>
        </w:rPr>
        <w:t>El control de calidad de bienes y servicios ofrecidos a la comunidad es responsabilidad del Estado. Esta norma es crucial para proteger la salud pública, asegurando que los productos y servicios no representen un riesgo para los consumidores, lo que fortalece la seguridad y confianza en el mercado.</w:t>
      </w:r>
    </w:p>
    <w:p w:rsidR="009F0B88" w:rsidRDefault="00B90476">
      <w:pPr>
        <w:spacing w:before="240" w:after="240"/>
        <w:jc w:val="both"/>
        <w:rPr>
          <w:rFonts w:ascii="Arial Narrow" w:eastAsia="Arial Narrow" w:hAnsi="Arial Narrow" w:cs="Arial Narrow"/>
          <w:b/>
          <w:sz w:val="22"/>
          <w:szCs w:val="22"/>
        </w:rPr>
      </w:pPr>
      <w:r>
        <w:rPr>
          <w:rFonts w:ascii="Arial Narrow" w:eastAsia="Arial Narrow" w:hAnsi="Arial Narrow" w:cs="Arial Narrow"/>
          <w:b/>
          <w:sz w:val="22"/>
          <w:szCs w:val="22"/>
        </w:rPr>
        <w:t>Ley 09 de 1979 (Medidas Sanitarias)</w:t>
      </w:r>
    </w:p>
    <w:p w:rsidR="009F0B88" w:rsidRDefault="00B90476">
      <w:pPr>
        <w:spacing w:before="240" w:after="240"/>
        <w:jc w:val="both"/>
        <w:rPr>
          <w:rFonts w:ascii="Arial Narrow" w:eastAsia="Arial Narrow" w:hAnsi="Arial Narrow" w:cs="Arial Narrow"/>
          <w:sz w:val="22"/>
          <w:szCs w:val="22"/>
        </w:rPr>
      </w:pPr>
      <w:r>
        <w:rPr>
          <w:rFonts w:ascii="Arial Narrow" w:eastAsia="Arial Narrow" w:hAnsi="Arial Narrow" w:cs="Arial Narrow"/>
          <w:b/>
          <w:sz w:val="22"/>
          <w:szCs w:val="22"/>
        </w:rPr>
        <w:t>Artículo 156:</w:t>
      </w:r>
      <w:r>
        <w:rPr>
          <w:rFonts w:ascii="Arial Narrow" w:eastAsia="Arial Narrow" w:hAnsi="Arial Narrow" w:cs="Arial Narrow"/>
          <w:b/>
          <w:sz w:val="22"/>
          <w:szCs w:val="22"/>
        </w:rPr>
        <w:br/>
      </w:r>
      <w:r>
        <w:rPr>
          <w:rFonts w:ascii="Arial Narrow" w:eastAsia="Arial Narrow" w:hAnsi="Arial Narrow" w:cs="Arial Narrow"/>
          <w:sz w:val="22"/>
          <w:szCs w:val="22"/>
        </w:rPr>
        <w:t>La clasificación de las edificaciones para el saneamiento asegura que se adapten a las necesidades sanitarias de cada tipo de establecimiento. Esto es clave para evitar la propagación de enfermedades y para garantizar que las instalaciones públicas y privadas cumplan con los estándares de salud y seguridad.</w:t>
      </w:r>
    </w:p>
    <w:p w:rsidR="009F0B88" w:rsidRDefault="00B90476">
      <w:pPr>
        <w:spacing w:before="240" w:after="240"/>
        <w:jc w:val="both"/>
        <w:rPr>
          <w:rFonts w:ascii="Arial Narrow" w:eastAsia="Arial Narrow" w:hAnsi="Arial Narrow" w:cs="Arial Narrow"/>
          <w:sz w:val="22"/>
          <w:szCs w:val="22"/>
        </w:rPr>
      </w:pPr>
      <w:r>
        <w:rPr>
          <w:rFonts w:ascii="Arial Narrow" w:eastAsia="Arial Narrow" w:hAnsi="Arial Narrow" w:cs="Arial Narrow"/>
          <w:b/>
          <w:sz w:val="22"/>
          <w:szCs w:val="22"/>
        </w:rPr>
        <w:t>Ley 715 de 2001</w:t>
      </w:r>
      <w:r>
        <w:rPr>
          <w:rFonts w:ascii="Arial Narrow" w:eastAsia="Arial Narrow" w:hAnsi="Arial Narrow" w:cs="Arial Narrow"/>
          <w:b/>
          <w:sz w:val="22"/>
          <w:szCs w:val="22"/>
        </w:rPr>
        <w:br/>
      </w:r>
      <w:r>
        <w:rPr>
          <w:rFonts w:ascii="Arial Narrow" w:eastAsia="Arial Narrow" w:hAnsi="Arial Narrow" w:cs="Arial Narrow"/>
          <w:sz w:val="22"/>
          <w:szCs w:val="22"/>
        </w:rPr>
        <w:t>Esta ley establece la organización y gestión de recursos para servicios como la educación y la salud. La vigilancia y el control sanitario sobre establecimientos de alto riesgo para la salud, como hospitales y mercados, son fundamentales para prevenir riesgos epidemiológicos y proteger a la comunidad.</w:t>
      </w:r>
    </w:p>
    <w:p w:rsidR="009F0B88" w:rsidRDefault="00B90476">
      <w:pPr>
        <w:spacing w:before="240" w:after="240"/>
        <w:jc w:val="both"/>
        <w:rPr>
          <w:rFonts w:ascii="Arial Narrow" w:eastAsia="Arial Narrow" w:hAnsi="Arial Narrow" w:cs="Arial Narrow"/>
          <w:b/>
          <w:sz w:val="22"/>
          <w:szCs w:val="22"/>
        </w:rPr>
      </w:pPr>
      <w:r>
        <w:rPr>
          <w:rFonts w:ascii="Arial Narrow" w:eastAsia="Arial Narrow" w:hAnsi="Arial Narrow" w:cs="Arial Narrow"/>
          <w:b/>
          <w:sz w:val="22"/>
          <w:szCs w:val="22"/>
        </w:rPr>
        <w:t>Ley 1801 de 2016 (Código Nacional de Seguridad y Convivencia Ciudadana)</w:t>
      </w:r>
    </w:p>
    <w:p w:rsidR="009F0B88" w:rsidRDefault="00B90476">
      <w:pPr>
        <w:spacing w:before="240" w:after="240"/>
        <w:jc w:val="both"/>
        <w:rPr>
          <w:rFonts w:ascii="Arial Narrow" w:eastAsia="Arial Narrow" w:hAnsi="Arial Narrow" w:cs="Arial Narrow"/>
          <w:sz w:val="22"/>
          <w:szCs w:val="22"/>
        </w:rPr>
      </w:pPr>
      <w:r>
        <w:rPr>
          <w:rFonts w:ascii="Arial Narrow" w:eastAsia="Arial Narrow" w:hAnsi="Arial Narrow" w:cs="Arial Narrow"/>
          <w:b/>
          <w:sz w:val="22"/>
          <w:szCs w:val="22"/>
        </w:rPr>
        <w:br/>
        <w:t>Artículo 87:</w:t>
      </w:r>
      <w:r>
        <w:rPr>
          <w:rFonts w:ascii="Arial Narrow" w:eastAsia="Arial Narrow" w:hAnsi="Arial Narrow" w:cs="Arial Narrow"/>
          <w:b/>
          <w:sz w:val="22"/>
          <w:szCs w:val="22"/>
        </w:rPr>
        <w:br/>
      </w:r>
      <w:r>
        <w:rPr>
          <w:rFonts w:ascii="Arial Narrow" w:eastAsia="Arial Narrow" w:hAnsi="Arial Narrow" w:cs="Arial Narrow"/>
          <w:sz w:val="22"/>
          <w:szCs w:val="22"/>
        </w:rPr>
        <w:t>Esta ley regula las actividades económicas y asegura que se cumplan con las normas sanitarias y de seguridad. Es importante para la regulación de los establecimientos, ya que garantiza que operen dentro de los límites legales y protejan la salud pública, especialmente en lugares con alta afluencia de personas como bares y supermercados.</w:t>
      </w:r>
    </w:p>
    <w:p w:rsidR="009F0B88" w:rsidRDefault="00B90476">
      <w:pPr>
        <w:spacing w:before="240" w:after="240"/>
        <w:jc w:val="both"/>
        <w:rPr>
          <w:rFonts w:ascii="Arial Narrow" w:eastAsia="Arial Narrow" w:hAnsi="Arial Narrow" w:cs="Arial Narrow"/>
          <w:b/>
          <w:sz w:val="22"/>
          <w:szCs w:val="22"/>
        </w:rPr>
      </w:pPr>
      <w:r>
        <w:rPr>
          <w:rFonts w:ascii="Arial Narrow" w:eastAsia="Arial Narrow" w:hAnsi="Arial Narrow" w:cs="Arial Narrow"/>
          <w:b/>
          <w:sz w:val="22"/>
          <w:szCs w:val="22"/>
        </w:rPr>
        <w:t>RESOLUCIONES A NIVEL NACIONAL</w:t>
      </w:r>
    </w:p>
    <w:p w:rsidR="009F0B88" w:rsidRDefault="00B90476">
      <w:pPr>
        <w:spacing w:before="240" w:after="240"/>
        <w:jc w:val="both"/>
        <w:rPr>
          <w:rFonts w:ascii="Arial Narrow" w:eastAsia="Arial Narrow" w:hAnsi="Arial Narrow" w:cs="Arial Narrow"/>
          <w:sz w:val="22"/>
          <w:szCs w:val="22"/>
        </w:rPr>
      </w:pPr>
      <w:r>
        <w:rPr>
          <w:rFonts w:ascii="Arial Narrow" w:eastAsia="Arial Narrow" w:hAnsi="Arial Narrow" w:cs="Arial Narrow"/>
          <w:b/>
          <w:sz w:val="22"/>
          <w:szCs w:val="22"/>
        </w:rPr>
        <w:t>Resolución 2674 de 2013:</w:t>
      </w:r>
      <w:r>
        <w:rPr>
          <w:rFonts w:ascii="Arial Narrow" w:eastAsia="Arial Narrow" w:hAnsi="Arial Narrow" w:cs="Arial Narrow"/>
          <w:b/>
          <w:sz w:val="22"/>
          <w:szCs w:val="22"/>
        </w:rPr>
        <w:br/>
      </w:r>
      <w:r>
        <w:rPr>
          <w:rFonts w:ascii="Arial Narrow" w:eastAsia="Arial Narrow" w:hAnsi="Arial Narrow" w:cs="Arial Narrow"/>
          <w:sz w:val="22"/>
          <w:szCs w:val="22"/>
        </w:rPr>
        <w:t>Regula la inspección y control sanitario de establecimientos, incluyendo los de alimentos. Esta normativa es esencial para garantizar que los productos comercializados sean seguros para el consumo y para prevenir brotes de enfermedades transmitidas por alimentos.</w:t>
      </w:r>
    </w:p>
    <w:p w:rsidR="009F0B88" w:rsidRDefault="00B90476">
      <w:pPr>
        <w:spacing w:before="240" w:after="240"/>
        <w:jc w:val="both"/>
        <w:rPr>
          <w:rFonts w:ascii="Arial Narrow" w:eastAsia="Arial Narrow" w:hAnsi="Arial Narrow" w:cs="Arial Narrow"/>
          <w:sz w:val="22"/>
          <w:szCs w:val="22"/>
        </w:rPr>
      </w:pPr>
      <w:r>
        <w:rPr>
          <w:rFonts w:ascii="Arial Narrow" w:eastAsia="Arial Narrow" w:hAnsi="Arial Narrow" w:cs="Arial Narrow"/>
          <w:b/>
          <w:sz w:val="22"/>
          <w:szCs w:val="22"/>
        </w:rPr>
        <w:t>Resolución 2016041871 de 2016:</w:t>
      </w:r>
      <w:r>
        <w:rPr>
          <w:rFonts w:ascii="Arial Narrow" w:eastAsia="Arial Narrow" w:hAnsi="Arial Narrow" w:cs="Arial Narrow"/>
          <w:b/>
          <w:sz w:val="22"/>
          <w:szCs w:val="22"/>
        </w:rPr>
        <w:br/>
      </w:r>
      <w:r>
        <w:rPr>
          <w:rFonts w:ascii="Arial Narrow" w:eastAsia="Arial Narrow" w:hAnsi="Arial Narrow" w:cs="Arial Narrow"/>
          <w:sz w:val="22"/>
          <w:szCs w:val="22"/>
        </w:rPr>
        <w:t xml:space="preserve">Establece requisitos sanitarios para el almacenamiento y expendio de carne y productos cárnicos. La vigilancia en este </w:t>
      </w:r>
      <w:r>
        <w:rPr>
          <w:rFonts w:ascii="Arial Narrow" w:eastAsia="Arial Narrow" w:hAnsi="Arial Narrow" w:cs="Arial Narrow"/>
          <w:sz w:val="22"/>
          <w:szCs w:val="22"/>
        </w:rPr>
        <w:lastRenderedPageBreak/>
        <w:t xml:space="preserve">sector es vital para evitar enfermedades </w:t>
      </w:r>
      <w:proofErr w:type="spellStart"/>
      <w:r>
        <w:rPr>
          <w:rFonts w:ascii="Arial Narrow" w:eastAsia="Arial Narrow" w:hAnsi="Arial Narrow" w:cs="Arial Narrow"/>
          <w:sz w:val="22"/>
          <w:szCs w:val="22"/>
        </w:rPr>
        <w:t>zoonóticas</w:t>
      </w:r>
      <w:proofErr w:type="spellEnd"/>
      <w:r>
        <w:rPr>
          <w:rFonts w:ascii="Arial Narrow" w:eastAsia="Arial Narrow" w:hAnsi="Arial Narrow" w:cs="Arial Narrow"/>
          <w:sz w:val="22"/>
          <w:szCs w:val="22"/>
        </w:rPr>
        <w:t xml:space="preserve"> y asegurar que los alimentos cárnicos sean aptos para el consumo humano.</w:t>
      </w:r>
    </w:p>
    <w:p w:rsidR="009F0B88" w:rsidRDefault="00B90476">
      <w:pPr>
        <w:spacing w:before="240" w:after="240"/>
        <w:jc w:val="both"/>
        <w:rPr>
          <w:rFonts w:ascii="Arial Narrow" w:eastAsia="Arial Narrow" w:hAnsi="Arial Narrow" w:cs="Arial Narrow"/>
          <w:b/>
          <w:sz w:val="22"/>
          <w:szCs w:val="22"/>
        </w:rPr>
      </w:pPr>
      <w:r>
        <w:rPr>
          <w:rFonts w:ascii="Arial Narrow" w:eastAsia="Arial Narrow" w:hAnsi="Arial Narrow" w:cs="Arial Narrow"/>
          <w:b/>
          <w:sz w:val="22"/>
          <w:szCs w:val="22"/>
        </w:rPr>
        <w:t xml:space="preserve">SENTENCIAS </w:t>
      </w:r>
    </w:p>
    <w:p w:rsidR="009F0B88" w:rsidRDefault="00B90476">
      <w:pPr>
        <w:spacing w:before="240" w:after="240"/>
        <w:jc w:val="both"/>
        <w:rPr>
          <w:rFonts w:ascii="Arial Narrow" w:eastAsia="Arial Narrow" w:hAnsi="Arial Narrow" w:cs="Arial Narrow"/>
          <w:sz w:val="22"/>
          <w:szCs w:val="22"/>
        </w:rPr>
      </w:pPr>
      <w:r>
        <w:rPr>
          <w:rFonts w:ascii="Arial Narrow" w:eastAsia="Arial Narrow" w:hAnsi="Arial Narrow" w:cs="Arial Narrow"/>
          <w:b/>
          <w:sz w:val="22"/>
          <w:szCs w:val="22"/>
        </w:rPr>
        <w:t>Sentencia C-313 de 2014:</w:t>
      </w:r>
      <w:r>
        <w:rPr>
          <w:rFonts w:ascii="Arial Narrow" w:eastAsia="Arial Narrow" w:hAnsi="Arial Narrow" w:cs="Arial Narrow"/>
          <w:b/>
          <w:sz w:val="22"/>
          <w:szCs w:val="22"/>
        </w:rPr>
        <w:br/>
      </w:r>
      <w:r>
        <w:rPr>
          <w:rFonts w:ascii="Arial Narrow" w:eastAsia="Arial Narrow" w:hAnsi="Arial Narrow" w:cs="Arial Narrow"/>
          <w:sz w:val="22"/>
          <w:szCs w:val="22"/>
        </w:rPr>
        <w:t>La Corte Constitucional reafirma que la salud es un derecho fundamental del Estado. La protección de la salud en establecimientos de alimentos es crucial para garantizar un entorno saludable y prevenir riesgos sanitarios.</w:t>
      </w:r>
    </w:p>
    <w:p w:rsidR="009F0B88" w:rsidRDefault="00B90476">
      <w:pPr>
        <w:spacing w:before="240" w:after="240"/>
        <w:jc w:val="both"/>
        <w:rPr>
          <w:rFonts w:ascii="Arial Narrow" w:eastAsia="Arial Narrow" w:hAnsi="Arial Narrow" w:cs="Arial Narrow"/>
          <w:sz w:val="22"/>
          <w:szCs w:val="22"/>
        </w:rPr>
      </w:pPr>
      <w:r>
        <w:rPr>
          <w:rFonts w:ascii="Arial Narrow" w:eastAsia="Arial Narrow" w:hAnsi="Arial Narrow" w:cs="Arial Narrow"/>
          <w:b/>
          <w:sz w:val="22"/>
          <w:szCs w:val="22"/>
        </w:rPr>
        <w:t>Sentencia C-915 de 2010:</w:t>
      </w:r>
      <w:r>
        <w:rPr>
          <w:rFonts w:ascii="Arial Narrow" w:eastAsia="Arial Narrow" w:hAnsi="Arial Narrow" w:cs="Arial Narrow"/>
          <w:b/>
          <w:sz w:val="22"/>
          <w:szCs w:val="22"/>
        </w:rPr>
        <w:br/>
      </w:r>
      <w:r>
        <w:rPr>
          <w:rFonts w:ascii="Arial Narrow" w:eastAsia="Arial Narrow" w:hAnsi="Arial Narrow" w:cs="Arial Narrow"/>
          <w:sz w:val="22"/>
          <w:szCs w:val="22"/>
        </w:rPr>
        <w:t>La Corte destaca la responsabilidad del Estado en el control de la calidad e inocuidad de los alimentos. Esto es esencial para proteger la salud pública y asegurar que los productos alimenticios sean seguros para el consumo.</w:t>
      </w:r>
    </w:p>
    <w:p w:rsidR="009F0B88" w:rsidRDefault="00B90476">
      <w:pPr>
        <w:spacing w:before="240" w:after="240"/>
        <w:jc w:val="both"/>
        <w:rPr>
          <w:rFonts w:ascii="Arial Narrow" w:eastAsia="Arial Narrow" w:hAnsi="Arial Narrow" w:cs="Arial Narrow"/>
          <w:sz w:val="22"/>
          <w:szCs w:val="22"/>
        </w:rPr>
      </w:pPr>
      <w:r>
        <w:rPr>
          <w:rFonts w:ascii="Arial Narrow" w:eastAsia="Arial Narrow" w:hAnsi="Arial Narrow" w:cs="Arial Narrow"/>
          <w:b/>
          <w:sz w:val="22"/>
          <w:szCs w:val="22"/>
        </w:rPr>
        <w:t>Sentencia T-760 de 2008:</w:t>
      </w:r>
      <w:r>
        <w:rPr>
          <w:rFonts w:ascii="Arial Narrow" w:eastAsia="Arial Narrow" w:hAnsi="Arial Narrow" w:cs="Arial Narrow"/>
          <w:b/>
          <w:sz w:val="22"/>
          <w:szCs w:val="22"/>
        </w:rPr>
        <w:br/>
      </w:r>
      <w:r>
        <w:rPr>
          <w:rFonts w:ascii="Arial Narrow" w:eastAsia="Arial Narrow" w:hAnsi="Arial Narrow" w:cs="Arial Narrow"/>
          <w:sz w:val="22"/>
          <w:szCs w:val="22"/>
        </w:rPr>
        <w:t>Reafirma la importancia de la salud pública como una obligación del Estado, subrayando la necesidad de fortalecer las medidas de vigilancia y control sanitario. Es esencial para la prevención de riesgos y la protección de la población.</w:t>
      </w:r>
    </w:p>
    <w:p w:rsidR="009F0B88" w:rsidRDefault="009F0B88">
      <w:pPr>
        <w:keepNext/>
        <w:keepLines/>
        <w:pBdr>
          <w:top w:val="nil"/>
          <w:left w:val="nil"/>
          <w:bottom w:val="nil"/>
          <w:right w:val="nil"/>
          <w:between w:val="nil"/>
        </w:pBdr>
        <w:tabs>
          <w:tab w:val="left" w:pos="567"/>
          <w:tab w:val="left" w:pos="284"/>
        </w:tabs>
        <w:spacing w:line="276" w:lineRule="auto"/>
        <w:jc w:val="both"/>
        <w:rPr>
          <w:rFonts w:ascii="Arial Narrow" w:eastAsia="Arial Narrow" w:hAnsi="Arial Narrow" w:cs="Arial Narrow"/>
          <w:b/>
          <w:color w:val="000000"/>
          <w:sz w:val="22"/>
          <w:szCs w:val="22"/>
        </w:rPr>
      </w:pPr>
    </w:p>
    <w:p w:rsidR="009F0B88" w:rsidRDefault="00B90476">
      <w:pPr>
        <w:pStyle w:val="Ttulo3"/>
        <w:tabs>
          <w:tab w:val="left" w:pos="567"/>
          <w:tab w:val="left" w:pos="284"/>
        </w:tabs>
        <w:spacing w:before="240" w:after="240" w:line="276" w:lineRule="auto"/>
        <w:jc w:val="both"/>
        <w:rPr>
          <w:rFonts w:ascii="Arial Narrow" w:eastAsia="Arial Narrow" w:hAnsi="Arial Narrow" w:cs="Arial Narrow"/>
          <w:sz w:val="24"/>
          <w:szCs w:val="24"/>
        </w:rPr>
      </w:pPr>
      <w:r>
        <w:rPr>
          <w:rFonts w:ascii="Arial Narrow" w:eastAsia="Arial Narrow" w:hAnsi="Arial Narrow" w:cs="Arial Narrow"/>
          <w:sz w:val="24"/>
          <w:szCs w:val="24"/>
        </w:rPr>
        <w:t>DE ORDEN CONSTITUCIONAL</w:t>
      </w:r>
    </w:p>
    <w:p w:rsidR="009F0B88" w:rsidRDefault="00B90476">
      <w:pPr>
        <w:pStyle w:val="Ttulo3"/>
        <w:tabs>
          <w:tab w:val="left" w:pos="567"/>
          <w:tab w:val="left" w:pos="284"/>
        </w:tabs>
        <w:spacing w:before="240" w:after="240" w:line="276" w:lineRule="auto"/>
        <w:jc w:val="both"/>
        <w:rPr>
          <w:rFonts w:ascii="Arial Narrow" w:eastAsia="Arial Narrow" w:hAnsi="Arial Narrow" w:cs="Arial Narrow"/>
          <w:b w:val="0"/>
          <w:sz w:val="24"/>
          <w:szCs w:val="24"/>
        </w:rPr>
      </w:pPr>
      <w:r>
        <w:rPr>
          <w:rFonts w:ascii="Arial Narrow" w:eastAsia="Arial Narrow" w:hAnsi="Arial Narrow" w:cs="Arial Narrow"/>
          <w:sz w:val="24"/>
          <w:szCs w:val="24"/>
        </w:rPr>
        <w:t>Artículo 49 – Derecho a la salud</w:t>
      </w:r>
      <w:r>
        <w:rPr>
          <w:rFonts w:ascii="Arial Narrow" w:eastAsia="Arial Narrow" w:hAnsi="Arial Narrow" w:cs="Arial Narrow"/>
          <w:sz w:val="24"/>
          <w:szCs w:val="24"/>
        </w:rPr>
        <w:br/>
      </w:r>
      <w:r>
        <w:rPr>
          <w:rFonts w:ascii="Arial Narrow" w:eastAsia="Arial Narrow" w:hAnsi="Arial Narrow" w:cs="Arial Narrow"/>
          <w:b w:val="0"/>
          <w:sz w:val="24"/>
          <w:szCs w:val="24"/>
        </w:rPr>
        <w:t xml:space="preserve"> "La salud es un derecho fundamental. El Estado deberá garantizar la atención sanitaria a toda la población, con una atención integral y suficiente."</w:t>
      </w:r>
      <w:r>
        <w:rPr>
          <w:rFonts w:ascii="Arial Narrow" w:eastAsia="Arial Narrow" w:hAnsi="Arial Narrow" w:cs="Arial Narrow"/>
          <w:b w:val="0"/>
          <w:sz w:val="24"/>
          <w:szCs w:val="24"/>
        </w:rPr>
        <w:br/>
        <w:t xml:space="preserve"> Este artículo establece que la salud es un derecho fundamental y que el Estado tiene la responsabilidad de garantizar la atención sanitaria a todos los colombianos, tanto en servicios públicos como privados. Además, prevé que la prestación del servicio de salud debe orientarse bajo principios de universalidad, eficiencia y solidaridad, asegurando un acceso equitativo y sin discriminación.</w:t>
      </w:r>
    </w:p>
    <w:p w:rsidR="009F0B88" w:rsidRDefault="00B90476">
      <w:pPr>
        <w:pStyle w:val="Ttulo3"/>
        <w:tabs>
          <w:tab w:val="left" w:pos="567"/>
          <w:tab w:val="left" w:pos="284"/>
        </w:tabs>
        <w:spacing w:before="240" w:after="240" w:line="276" w:lineRule="auto"/>
        <w:jc w:val="both"/>
        <w:rPr>
          <w:rFonts w:ascii="Arial Narrow" w:eastAsia="Arial Narrow" w:hAnsi="Arial Narrow" w:cs="Arial Narrow"/>
          <w:b w:val="0"/>
          <w:sz w:val="24"/>
          <w:szCs w:val="24"/>
        </w:rPr>
      </w:pPr>
      <w:r>
        <w:rPr>
          <w:rFonts w:ascii="Arial Narrow" w:eastAsia="Arial Narrow" w:hAnsi="Arial Narrow" w:cs="Arial Narrow"/>
          <w:sz w:val="24"/>
          <w:szCs w:val="24"/>
        </w:rPr>
        <w:t>Artículo 78 – Protección del consumidor</w:t>
      </w:r>
      <w:r>
        <w:rPr>
          <w:rFonts w:ascii="Arial Narrow" w:eastAsia="Arial Narrow" w:hAnsi="Arial Narrow" w:cs="Arial Narrow"/>
          <w:sz w:val="24"/>
          <w:szCs w:val="24"/>
        </w:rPr>
        <w:br/>
      </w:r>
      <w:r>
        <w:rPr>
          <w:rFonts w:ascii="Arial Narrow" w:eastAsia="Arial Narrow" w:hAnsi="Arial Narrow" w:cs="Arial Narrow"/>
          <w:b w:val="0"/>
          <w:sz w:val="24"/>
          <w:szCs w:val="24"/>
        </w:rPr>
        <w:t xml:space="preserve"> "La ley regulará el control de calidad de bienes y servicios ofrecidos a la comunidad y garantizará la información y participación de los consumidores para defender sus derechos."</w:t>
      </w:r>
      <w:r>
        <w:rPr>
          <w:rFonts w:ascii="Arial Narrow" w:eastAsia="Arial Narrow" w:hAnsi="Arial Narrow" w:cs="Arial Narrow"/>
          <w:b w:val="0"/>
          <w:sz w:val="24"/>
          <w:szCs w:val="24"/>
        </w:rPr>
        <w:br/>
        <w:t xml:space="preserve"> Este artículo es relevante para el ámbito de la seguridad alimentaria, ya que establece la obligación del Estado de velar por la calidad de los productos alimenticios y de asegurar que los consumidores reciban información clara sobre los mismos.</w:t>
      </w:r>
    </w:p>
    <w:p w:rsidR="009F0B88" w:rsidRDefault="00B90476">
      <w:pPr>
        <w:pStyle w:val="Ttulo3"/>
        <w:tabs>
          <w:tab w:val="left" w:pos="567"/>
          <w:tab w:val="left" w:pos="284"/>
        </w:tabs>
        <w:spacing w:before="240" w:after="240" w:line="276" w:lineRule="auto"/>
        <w:jc w:val="both"/>
        <w:rPr>
          <w:rFonts w:ascii="Arial Narrow" w:eastAsia="Arial Narrow" w:hAnsi="Arial Narrow" w:cs="Arial Narrow"/>
          <w:b w:val="0"/>
          <w:sz w:val="24"/>
          <w:szCs w:val="24"/>
        </w:rPr>
      </w:pPr>
      <w:r>
        <w:rPr>
          <w:rFonts w:ascii="Arial Narrow" w:eastAsia="Arial Narrow" w:hAnsi="Arial Narrow" w:cs="Arial Narrow"/>
          <w:sz w:val="24"/>
          <w:szCs w:val="24"/>
        </w:rPr>
        <w:t>Artículo 95 – Responsabilidad social de los ciudadanos</w:t>
      </w:r>
      <w:r>
        <w:rPr>
          <w:rFonts w:ascii="Arial Narrow" w:eastAsia="Arial Narrow" w:hAnsi="Arial Narrow" w:cs="Arial Narrow"/>
          <w:sz w:val="24"/>
          <w:szCs w:val="24"/>
        </w:rPr>
        <w:br/>
      </w:r>
      <w:r>
        <w:rPr>
          <w:rFonts w:ascii="Arial Narrow" w:eastAsia="Arial Narrow" w:hAnsi="Arial Narrow" w:cs="Arial Narrow"/>
          <w:b w:val="0"/>
          <w:sz w:val="24"/>
          <w:szCs w:val="24"/>
        </w:rPr>
        <w:t xml:space="preserve"> "Toda persona está obligada a cumplir la Constitución y las leyes y a respetar los derechos de los demás."</w:t>
      </w:r>
      <w:r>
        <w:rPr>
          <w:rFonts w:ascii="Arial Narrow" w:eastAsia="Arial Narrow" w:hAnsi="Arial Narrow" w:cs="Arial Narrow"/>
          <w:b w:val="0"/>
          <w:sz w:val="24"/>
          <w:szCs w:val="24"/>
        </w:rPr>
        <w:br/>
        <w:t xml:space="preserve"> Incluye el deber de acatar las normativas sanitarias y de salud pública, lo que implica la obligación de los establecimientos de alimentos de cumplir con las regulaciones en materia de higiene y seguridad alimentaria.</w:t>
      </w:r>
    </w:p>
    <w:p w:rsidR="009F0B88" w:rsidRDefault="00B90476">
      <w:pPr>
        <w:pStyle w:val="Ttulo3"/>
        <w:tabs>
          <w:tab w:val="left" w:pos="567"/>
          <w:tab w:val="left" w:pos="284"/>
        </w:tabs>
        <w:spacing w:before="240" w:after="240" w:line="276" w:lineRule="auto"/>
        <w:jc w:val="both"/>
        <w:rPr>
          <w:rFonts w:ascii="Arial Narrow" w:eastAsia="Arial Narrow" w:hAnsi="Arial Narrow" w:cs="Arial Narrow"/>
          <w:sz w:val="24"/>
          <w:szCs w:val="24"/>
        </w:rPr>
      </w:pPr>
      <w:r>
        <w:rPr>
          <w:rFonts w:ascii="Arial Narrow" w:eastAsia="Arial Narrow" w:hAnsi="Arial Narrow" w:cs="Arial Narrow"/>
          <w:sz w:val="24"/>
          <w:szCs w:val="24"/>
        </w:rPr>
        <w:t>DE ORDEN LEGAL</w:t>
      </w:r>
    </w:p>
    <w:p w:rsidR="009F0B88" w:rsidRDefault="00B90476">
      <w:pPr>
        <w:pStyle w:val="Ttulo3"/>
        <w:tabs>
          <w:tab w:val="left" w:pos="567"/>
          <w:tab w:val="left" w:pos="284"/>
        </w:tabs>
        <w:spacing w:before="240" w:after="240" w:line="276" w:lineRule="auto"/>
        <w:jc w:val="both"/>
        <w:rPr>
          <w:rFonts w:ascii="Arial Narrow" w:eastAsia="Arial Narrow" w:hAnsi="Arial Narrow" w:cs="Arial Narrow"/>
          <w:b w:val="0"/>
          <w:sz w:val="24"/>
          <w:szCs w:val="24"/>
        </w:rPr>
      </w:pPr>
      <w:r>
        <w:rPr>
          <w:rFonts w:ascii="Arial Narrow" w:eastAsia="Arial Narrow" w:hAnsi="Arial Narrow" w:cs="Arial Narrow"/>
          <w:b w:val="0"/>
          <w:sz w:val="24"/>
          <w:szCs w:val="24"/>
        </w:rPr>
        <w:t>Desde el ámbito normativo, el proyecto se enmarca en la legislación vigente sobre salubridad pública y la seguridad en la preparación y comercialización de alimentos:</w:t>
      </w:r>
    </w:p>
    <w:p w:rsidR="009F0B88" w:rsidRDefault="00B90476">
      <w:pPr>
        <w:pStyle w:val="Ttulo3"/>
        <w:numPr>
          <w:ilvl w:val="0"/>
          <w:numId w:val="8"/>
        </w:numPr>
        <w:tabs>
          <w:tab w:val="left" w:pos="567"/>
          <w:tab w:val="left" w:pos="284"/>
        </w:tabs>
        <w:spacing w:before="240" w:after="0" w:line="276" w:lineRule="auto"/>
        <w:jc w:val="both"/>
        <w:rPr>
          <w:b w:val="0"/>
          <w:sz w:val="24"/>
          <w:szCs w:val="24"/>
        </w:rPr>
      </w:pPr>
      <w:r>
        <w:rPr>
          <w:rFonts w:ascii="Arial Narrow" w:eastAsia="Arial Narrow" w:hAnsi="Arial Narrow" w:cs="Arial Narrow"/>
          <w:sz w:val="24"/>
          <w:szCs w:val="24"/>
        </w:rPr>
        <w:t>Ley 9 de 1979 – Código Sanitario Nacional</w:t>
      </w:r>
      <w:r>
        <w:rPr>
          <w:rFonts w:ascii="Arial Narrow" w:eastAsia="Arial Narrow" w:hAnsi="Arial Narrow" w:cs="Arial Narrow"/>
          <w:sz w:val="24"/>
          <w:szCs w:val="24"/>
        </w:rPr>
        <w:br/>
      </w:r>
      <w:r>
        <w:rPr>
          <w:rFonts w:ascii="Arial Narrow" w:eastAsia="Arial Narrow" w:hAnsi="Arial Narrow" w:cs="Arial Narrow"/>
          <w:b w:val="0"/>
          <w:sz w:val="24"/>
          <w:szCs w:val="24"/>
        </w:rPr>
        <w:t xml:space="preserve"> Es la norma marco en materia de salud pública en Colombia. Establece disposiciones generales en materia de salubridad, incluyendo la regulación de establecimientos donde se preparan y comercializan alimentos, normas de higiene y medidas preventivas para evitar enfermedades de origen alimentario.</w:t>
      </w:r>
      <w:r>
        <w:rPr>
          <w:rFonts w:ascii="Arial Narrow" w:eastAsia="Arial Narrow" w:hAnsi="Arial Narrow" w:cs="Arial Narrow"/>
          <w:b w:val="0"/>
          <w:sz w:val="24"/>
          <w:szCs w:val="24"/>
        </w:rPr>
        <w:br/>
      </w:r>
    </w:p>
    <w:p w:rsidR="009F0B88" w:rsidRDefault="00B90476">
      <w:pPr>
        <w:pStyle w:val="Ttulo3"/>
        <w:numPr>
          <w:ilvl w:val="0"/>
          <w:numId w:val="8"/>
        </w:numPr>
        <w:tabs>
          <w:tab w:val="left" w:pos="567"/>
          <w:tab w:val="left" w:pos="284"/>
        </w:tabs>
        <w:spacing w:before="0" w:after="0" w:line="276" w:lineRule="auto"/>
        <w:jc w:val="both"/>
        <w:rPr>
          <w:b w:val="0"/>
          <w:sz w:val="24"/>
          <w:szCs w:val="24"/>
        </w:rPr>
      </w:pPr>
      <w:r>
        <w:rPr>
          <w:rFonts w:ascii="Arial Narrow" w:eastAsia="Arial Narrow" w:hAnsi="Arial Narrow" w:cs="Arial Narrow"/>
          <w:sz w:val="24"/>
          <w:szCs w:val="24"/>
        </w:rPr>
        <w:lastRenderedPageBreak/>
        <w:t>Ley 2120 de 2021 – Entornos alimentarios saludables</w:t>
      </w:r>
      <w:r>
        <w:rPr>
          <w:rFonts w:ascii="Arial Narrow" w:eastAsia="Arial Narrow" w:hAnsi="Arial Narrow" w:cs="Arial Narrow"/>
          <w:sz w:val="24"/>
          <w:szCs w:val="24"/>
        </w:rPr>
        <w:br/>
      </w:r>
      <w:r>
        <w:rPr>
          <w:rFonts w:ascii="Arial Narrow" w:eastAsia="Arial Narrow" w:hAnsi="Arial Narrow" w:cs="Arial Narrow"/>
          <w:b w:val="0"/>
          <w:sz w:val="24"/>
          <w:szCs w:val="24"/>
        </w:rPr>
        <w:t xml:space="preserve"> Adopta medidas para fomentar entornos alimentarios saludables y prevenir enfermedades no transmisibles relacionadas con la nutrición. Esta ley aborda aspectos como el etiquetado frontal de advertencia en alimentos </w:t>
      </w:r>
      <w:proofErr w:type="spellStart"/>
      <w:r>
        <w:rPr>
          <w:rFonts w:ascii="Arial Narrow" w:eastAsia="Arial Narrow" w:hAnsi="Arial Narrow" w:cs="Arial Narrow"/>
          <w:b w:val="0"/>
          <w:sz w:val="24"/>
          <w:szCs w:val="24"/>
        </w:rPr>
        <w:t>ultraprocesados</w:t>
      </w:r>
      <w:proofErr w:type="spellEnd"/>
      <w:r>
        <w:rPr>
          <w:rFonts w:ascii="Arial Narrow" w:eastAsia="Arial Narrow" w:hAnsi="Arial Narrow" w:cs="Arial Narrow"/>
          <w:b w:val="0"/>
          <w:sz w:val="24"/>
          <w:szCs w:val="24"/>
        </w:rPr>
        <w:t xml:space="preserve"> y la regulación de su publicidad, especialmente la dirigida a niños y adolescentes.</w:t>
      </w:r>
      <w:r>
        <w:rPr>
          <w:rFonts w:ascii="Arial Narrow" w:eastAsia="Arial Narrow" w:hAnsi="Arial Narrow" w:cs="Arial Narrow"/>
          <w:b w:val="0"/>
          <w:sz w:val="24"/>
          <w:szCs w:val="24"/>
        </w:rPr>
        <w:br/>
      </w:r>
    </w:p>
    <w:p w:rsidR="009F0B88" w:rsidRDefault="00B90476">
      <w:pPr>
        <w:pStyle w:val="Ttulo3"/>
        <w:numPr>
          <w:ilvl w:val="0"/>
          <w:numId w:val="8"/>
        </w:numPr>
        <w:tabs>
          <w:tab w:val="left" w:pos="567"/>
          <w:tab w:val="left" w:pos="284"/>
        </w:tabs>
        <w:spacing w:before="0" w:after="0" w:line="276" w:lineRule="auto"/>
        <w:jc w:val="both"/>
        <w:rPr>
          <w:b w:val="0"/>
          <w:sz w:val="24"/>
          <w:szCs w:val="24"/>
        </w:rPr>
      </w:pPr>
      <w:r>
        <w:rPr>
          <w:rFonts w:ascii="Arial Narrow" w:eastAsia="Arial Narrow" w:hAnsi="Arial Narrow" w:cs="Arial Narrow"/>
          <w:sz w:val="24"/>
          <w:szCs w:val="24"/>
        </w:rPr>
        <w:t>Ley 1355 de 2009 – Prevención y control de la obesidad</w:t>
      </w:r>
      <w:r>
        <w:rPr>
          <w:rFonts w:ascii="Arial Narrow" w:eastAsia="Arial Narrow" w:hAnsi="Arial Narrow" w:cs="Arial Narrow"/>
          <w:sz w:val="24"/>
          <w:szCs w:val="24"/>
        </w:rPr>
        <w:br/>
      </w:r>
      <w:r>
        <w:rPr>
          <w:rFonts w:ascii="Arial Narrow" w:eastAsia="Arial Narrow" w:hAnsi="Arial Narrow" w:cs="Arial Narrow"/>
          <w:b w:val="0"/>
          <w:sz w:val="24"/>
          <w:szCs w:val="24"/>
        </w:rPr>
        <w:t xml:space="preserve"> Define la obesidad y las enfermedades asociadas como un problema de salud pública y establece estrategias para su prevención y control, incluyendo la promoción de hábitos de alimentación saludable y la regulación de la oferta de alimentos en instituciones educativas y lugares de trabajo.</w:t>
      </w:r>
      <w:r>
        <w:rPr>
          <w:rFonts w:ascii="Arial Narrow" w:eastAsia="Arial Narrow" w:hAnsi="Arial Narrow" w:cs="Arial Narrow"/>
          <w:b w:val="0"/>
          <w:sz w:val="24"/>
          <w:szCs w:val="24"/>
        </w:rPr>
        <w:br/>
      </w:r>
    </w:p>
    <w:p w:rsidR="009F0B88" w:rsidRDefault="00B90476">
      <w:pPr>
        <w:pStyle w:val="Ttulo3"/>
        <w:numPr>
          <w:ilvl w:val="0"/>
          <w:numId w:val="8"/>
        </w:numPr>
        <w:tabs>
          <w:tab w:val="left" w:pos="567"/>
          <w:tab w:val="left" w:pos="284"/>
        </w:tabs>
        <w:spacing w:before="0" w:after="240" w:line="276" w:lineRule="auto"/>
        <w:jc w:val="both"/>
        <w:rPr>
          <w:b w:val="0"/>
          <w:sz w:val="24"/>
          <w:szCs w:val="24"/>
        </w:rPr>
      </w:pPr>
      <w:r>
        <w:rPr>
          <w:rFonts w:ascii="Arial Narrow" w:eastAsia="Arial Narrow" w:hAnsi="Arial Narrow" w:cs="Arial Narrow"/>
          <w:sz w:val="24"/>
          <w:szCs w:val="24"/>
        </w:rPr>
        <w:t>Ley 1804 de 2016 – Desarrollo integral de la primera infancia</w:t>
      </w:r>
      <w:r>
        <w:rPr>
          <w:rFonts w:ascii="Arial Narrow" w:eastAsia="Arial Narrow" w:hAnsi="Arial Narrow" w:cs="Arial Narrow"/>
          <w:sz w:val="24"/>
          <w:szCs w:val="24"/>
        </w:rPr>
        <w:br/>
      </w:r>
      <w:r>
        <w:rPr>
          <w:rFonts w:ascii="Arial Narrow" w:eastAsia="Arial Narrow" w:hAnsi="Arial Narrow" w:cs="Arial Narrow"/>
          <w:b w:val="0"/>
          <w:sz w:val="24"/>
          <w:szCs w:val="24"/>
        </w:rPr>
        <w:t xml:space="preserve"> Regula la protección de la infancia y la garantía de acceso a una alimentación adecuada como parte del desarrollo integral de los niños en Colombia.</w:t>
      </w:r>
    </w:p>
    <w:p w:rsidR="009F0B88" w:rsidRDefault="00B90476">
      <w:pPr>
        <w:pStyle w:val="Ttulo3"/>
        <w:tabs>
          <w:tab w:val="left" w:pos="567"/>
          <w:tab w:val="left" w:pos="284"/>
        </w:tabs>
        <w:spacing w:before="240" w:after="240" w:line="276" w:lineRule="auto"/>
        <w:jc w:val="both"/>
        <w:rPr>
          <w:rFonts w:ascii="Arial Narrow" w:eastAsia="Arial Narrow" w:hAnsi="Arial Narrow" w:cs="Arial Narrow"/>
          <w:sz w:val="24"/>
          <w:szCs w:val="24"/>
        </w:rPr>
      </w:pPr>
      <w:r>
        <w:rPr>
          <w:rFonts w:ascii="Arial Narrow" w:eastAsia="Arial Narrow" w:hAnsi="Arial Narrow" w:cs="Arial Narrow"/>
          <w:sz w:val="24"/>
          <w:szCs w:val="24"/>
        </w:rPr>
        <w:t>DECRETOS</w:t>
      </w:r>
    </w:p>
    <w:p w:rsidR="009F0B88" w:rsidRDefault="00B90476">
      <w:pPr>
        <w:pStyle w:val="Ttulo3"/>
        <w:numPr>
          <w:ilvl w:val="0"/>
          <w:numId w:val="2"/>
        </w:numPr>
        <w:tabs>
          <w:tab w:val="left" w:pos="567"/>
          <w:tab w:val="left" w:pos="284"/>
        </w:tabs>
        <w:spacing w:before="240" w:after="0" w:line="276" w:lineRule="auto"/>
        <w:jc w:val="both"/>
        <w:rPr>
          <w:b w:val="0"/>
          <w:sz w:val="24"/>
          <w:szCs w:val="24"/>
        </w:rPr>
      </w:pPr>
      <w:r>
        <w:rPr>
          <w:rFonts w:ascii="Arial Narrow" w:eastAsia="Arial Narrow" w:hAnsi="Arial Narrow" w:cs="Arial Narrow"/>
          <w:sz w:val="24"/>
          <w:szCs w:val="24"/>
        </w:rPr>
        <w:t>Decreto 3075 de 1997 – Reglamento Sanitario Internacional</w:t>
      </w:r>
      <w:r>
        <w:rPr>
          <w:rFonts w:ascii="Arial Narrow" w:eastAsia="Arial Narrow" w:hAnsi="Arial Narrow" w:cs="Arial Narrow"/>
          <w:sz w:val="24"/>
          <w:szCs w:val="24"/>
        </w:rPr>
        <w:br/>
      </w:r>
      <w:r>
        <w:rPr>
          <w:rFonts w:ascii="Arial Narrow" w:eastAsia="Arial Narrow" w:hAnsi="Arial Narrow" w:cs="Arial Narrow"/>
          <w:b w:val="0"/>
          <w:sz w:val="24"/>
          <w:szCs w:val="24"/>
        </w:rPr>
        <w:t xml:space="preserve"> Regula las medidas sanitarias internacionales, en cumplimiento de los acuerdos internacionales para prevenir la propagación de enfermedades. En materia de alimentos, establece las condiciones higiénico-sanitarias para la producción, almacenamiento, transporte y comercialización de productos alimenticios en el país.</w:t>
      </w:r>
      <w:r>
        <w:rPr>
          <w:rFonts w:ascii="Arial Narrow" w:eastAsia="Arial Narrow" w:hAnsi="Arial Narrow" w:cs="Arial Narrow"/>
          <w:b w:val="0"/>
          <w:sz w:val="24"/>
          <w:szCs w:val="24"/>
        </w:rPr>
        <w:br/>
      </w:r>
    </w:p>
    <w:p w:rsidR="009F0B88" w:rsidRDefault="00B90476">
      <w:pPr>
        <w:pStyle w:val="Ttulo3"/>
        <w:numPr>
          <w:ilvl w:val="0"/>
          <w:numId w:val="2"/>
        </w:numPr>
        <w:tabs>
          <w:tab w:val="left" w:pos="567"/>
          <w:tab w:val="left" w:pos="284"/>
        </w:tabs>
        <w:spacing w:before="0" w:after="0" w:line="276" w:lineRule="auto"/>
        <w:jc w:val="both"/>
        <w:rPr>
          <w:b w:val="0"/>
          <w:sz w:val="24"/>
          <w:szCs w:val="24"/>
        </w:rPr>
      </w:pPr>
      <w:r>
        <w:rPr>
          <w:rFonts w:ascii="Arial Narrow" w:eastAsia="Arial Narrow" w:hAnsi="Arial Narrow" w:cs="Arial Narrow"/>
          <w:sz w:val="24"/>
          <w:szCs w:val="24"/>
        </w:rPr>
        <w:t>Decreto 1686 de 2012 – Vigilancia y control de alimentos</w:t>
      </w:r>
      <w:r>
        <w:rPr>
          <w:rFonts w:ascii="Arial Narrow" w:eastAsia="Arial Narrow" w:hAnsi="Arial Narrow" w:cs="Arial Narrow"/>
          <w:sz w:val="24"/>
          <w:szCs w:val="24"/>
        </w:rPr>
        <w:br/>
      </w:r>
      <w:r>
        <w:rPr>
          <w:rFonts w:ascii="Arial Narrow" w:eastAsia="Arial Narrow" w:hAnsi="Arial Narrow" w:cs="Arial Narrow"/>
          <w:b w:val="0"/>
          <w:sz w:val="24"/>
          <w:szCs w:val="24"/>
        </w:rPr>
        <w:t xml:space="preserve"> Reglamenta aspectos relacionados con la vigilancia y control sanitario de los alimentos y bebidas destinadas al consumo humano, incluyendo requisitos para su importación y exportación.</w:t>
      </w:r>
      <w:r>
        <w:rPr>
          <w:rFonts w:ascii="Arial Narrow" w:eastAsia="Arial Narrow" w:hAnsi="Arial Narrow" w:cs="Arial Narrow"/>
          <w:b w:val="0"/>
          <w:sz w:val="24"/>
          <w:szCs w:val="24"/>
        </w:rPr>
        <w:br/>
      </w:r>
    </w:p>
    <w:p w:rsidR="009F0B88" w:rsidRDefault="00B90476">
      <w:pPr>
        <w:pStyle w:val="Ttulo3"/>
        <w:numPr>
          <w:ilvl w:val="0"/>
          <w:numId w:val="2"/>
        </w:numPr>
        <w:tabs>
          <w:tab w:val="left" w:pos="567"/>
          <w:tab w:val="left" w:pos="284"/>
        </w:tabs>
        <w:spacing w:before="0" w:after="240" w:line="276" w:lineRule="auto"/>
        <w:jc w:val="both"/>
        <w:rPr>
          <w:b w:val="0"/>
          <w:sz w:val="24"/>
          <w:szCs w:val="24"/>
        </w:rPr>
      </w:pPr>
      <w:r>
        <w:rPr>
          <w:rFonts w:ascii="Arial Narrow" w:eastAsia="Arial Narrow" w:hAnsi="Arial Narrow" w:cs="Arial Narrow"/>
          <w:sz w:val="24"/>
          <w:szCs w:val="24"/>
        </w:rPr>
        <w:t>Decreto 780 de 2016 – Decreto Único Reglamentario del Sector Salud y Protección Social</w:t>
      </w:r>
      <w:r>
        <w:rPr>
          <w:rFonts w:ascii="Arial Narrow" w:eastAsia="Arial Narrow" w:hAnsi="Arial Narrow" w:cs="Arial Narrow"/>
          <w:sz w:val="24"/>
          <w:szCs w:val="24"/>
        </w:rPr>
        <w:br/>
      </w:r>
      <w:r>
        <w:rPr>
          <w:rFonts w:ascii="Arial Narrow" w:eastAsia="Arial Narrow" w:hAnsi="Arial Narrow" w:cs="Arial Narrow"/>
          <w:b w:val="0"/>
          <w:sz w:val="24"/>
          <w:szCs w:val="24"/>
        </w:rPr>
        <w:t xml:space="preserve"> Incluye disposiciones relacionadas con la inspección, vigilancia y control sanitario de establecimientos que manipulan alimentos, garantizando la calidad e inocuidad de los productos.</w:t>
      </w:r>
      <w:r>
        <w:rPr>
          <w:rFonts w:ascii="Arial Narrow" w:eastAsia="Arial Narrow" w:hAnsi="Arial Narrow" w:cs="Arial Narrow"/>
          <w:b w:val="0"/>
          <w:sz w:val="24"/>
          <w:szCs w:val="24"/>
        </w:rPr>
        <w:br/>
      </w:r>
    </w:p>
    <w:p w:rsidR="009F0B88" w:rsidRDefault="009F0B88">
      <w:pPr>
        <w:tabs>
          <w:tab w:val="left" w:pos="567"/>
          <w:tab w:val="left" w:pos="284"/>
        </w:tabs>
        <w:jc w:val="both"/>
      </w:pPr>
    </w:p>
    <w:p w:rsidR="009F0B88" w:rsidRDefault="00B90476">
      <w:pPr>
        <w:pStyle w:val="Ttulo3"/>
        <w:tabs>
          <w:tab w:val="left" w:pos="567"/>
          <w:tab w:val="left" w:pos="284"/>
        </w:tabs>
        <w:spacing w:before="240" w:after="240" w:line="276" w:lineRule="auto"/>
        <w:jc w:val="both"/>
        <w:rPr>
          <w:rFonts w:ascii="Arial Narrow" w:eastAsia="Arial Narrow" w:hAnsi="Arial Narrow" w:cs="Arial Narrow"/>
          <w:sz w:val="24"/>
          <w:szCs w:val="24"/>
        </w:rPr>
      </w:pPr>
      <w:r>
        <w:rPr>
          <w:rFonts w:ascii="Arial Narrow" w:eastAsia="Arial Narrow" w:hAnsi="Arial Narrow" w:cs="Arial Narrow"/>
          <w:sz w:val="24"/>
          <w:szCs w:val="24"/>
        </w:rPr>
        <w:lastRenderedPageBreak/>
        <w:t>RESOLUCIONES</w:t>
      </w:r>
    </w:p>
    <w:p w:rsidR="009F0B88" w:rsidRDefault="00B90476">
      <w:pPr>
        <w:pStyle w:val="Ttulo3"/>
        <w:numPr>
          <w:ilvl w:val="0"/>
          <w:numId w:val="3"/>
        </w:numPr>
        <w:tabs>
          <w:tab w:val="left" w:pos="567"/>
          <w:tab w:val="left" w:pos="284"/>
        </w:tabs>
        <w:spacing w:before="240" w:after="0" w:line="276" w:lineRule="auto"/>
        <w:jc w:val="both"/>
        <w:rPr>
          <w:b w:val="0"/>
          <w:sz w:val="24"/>
          <w:szCs w:val="24"/>
        </w:rPr>
      </w:pPr>
      <w:r>
        <w:rPr>
          <w:rFonts w:ascii="Arial Narrow" w:eastAsia="Arial Narrow" w:hAnsi="Arial Narrow" w:cs="Arial Narrow"/>
          <w:sz w:val="24"/>
          <w:szCs w:val="24"/>
        </w:rPr>
        <w:t>Resolución 2674 de 2013 – Normas de Higiene para Establecimientos de Alimentos</w:t>
      </w:r>
      <w:r>
        <w:rPr>
          <w:rFonts w:ascii="Arial Narrow" w:eastAsia="Arial Narrow" w:hAnsi="Arial Narrow" w:cs="Arial Narrow"/>
          <w:sz w:val="24"/>
          <w:szCs w:val="24"/>
        </w:rPr>
        <w:br/>
      </w:r>
      <w:r>
        <w:rPr>
          <w:rFonts w:ascii="Arial Narrow" w:eastAsia="Arial Narrow" w:hAnsi="Arial Narrow" w:cs="Arial Narrow"/>
          <w:b w:val="0"/>
          <w:sz w:val="24"/>
          <w:szCs w:val="24"/>
        </w:rPr>
        <w:t xml:space="preserve"> Regula las condiciones mínimas de higiene y seguridad en los establecimientos dedicados a la preparación, manejo, distribución y consumo de alimentos. Incluye el control de temperaturas, el manejo adecuado de los productos, la capacitación del personal y la limpieza del establecimiento.</w:t>
      </w:r>
      <w:r>
        <w:rPr>
          <w:rFonts w:ascii="Arial Narrow" w:eastAsia="Arial Narrow" w:hAnsi="Arial Narrow" w:cs="Arial Narrow"/>
          <w:b w:val="0"/>
          <w:sz w:val="24"/>
          <w:szCs w:val="24"/>
        </w:rPr>
        <w:br/>
      </w:r>
    </w:p>
    <w:p w:rsidR="009F0B88" w:rsidRDefault="00B90476">
      <w:pPr>
        <w:pStyle w:val="Ttulo3"/>
        <w:numPr>
          <w:ilvl w:val="0"/>
          <w:numId w:val="3"/>
        </w:numPr>
        <w:tabs>
          <w:tab w:val="left" w:pos="567"/>
          <w:tab w:val="left" w:pos="284"/>
        </w:tabs>
        <w:spacing w:before="0" w:after="0" w:line="276" w:lineRule="auto"/>
        <w:jc w:val="both"/>
        <w:rPr>
          <w:b w:val="0"/>
          <w:sz w:val="24"/>
          <w:szCs w:val="24"/>
        </w:rPr>
      </w:pPr>
      <w:r>
        <w:rPr>
          <w:rFonts w:ascii="Arial Narrow" w:eastAsia="Arial Narrow" w:hAnsi="Arial Narrow" w:cs="Arial Narrow"/>
          <w:sz w:val="24"/>
          <w:szCs w:val="24"/>
        </w:rPr>
        <w:t>Resolución 3100 de 2019 – Requisitos para la Acreditación de Instituciones de Salud</w:t>
      </w:r>
      <w:r>
        <w:rPr>
          <w:rFonts w:ascii="Arial Narrow" w:eastAsia="Arial Narrow" w:hAnsi="Arial Narrow" w:cs="Arial Narrow"/>
          <w:sz w:val="24"/>
          <w:szCs w:val="24"/>
        </w:rPr>
        <w:br/>
      </w:r>
      <w:r>
        <w:rPr>
          <w:rFonts w:ascii="Arial Narrow" w:eastAsia="Arial Narrow" w:hAnsi="Arial Narrow" w:cs="Arial Narrow"/>
          <w:b w:val="0"/>
          <w:sz w:val="24"/>
          <w:szCs w:val="24"/>
        </w:rPr>
        <w:t xml:space="preserve"> Regula los estándares para la acreditación de las instituciones de salud y los procedimientos necesarios para garantizar la calidad de los servicios prestados.</w:t>
      </w:r>
      <w:r>
        <w:rPr>
          <w:rFonts w:ascii="Arial Narrow" w:eastAsia="Arial Narrow" w:hAnsi="Arial Narrow" w:cs="Arial Narrow"/>
          <w:b w:val="0"/>
          <w:sz w:val="24"/>
          <w:szCs w:val="24"/>
        </w:rPr>
        <w:br/>
      </w:r>
    </w:p>
    <w:p w:rsidR="009F0B88" w:rsidRDefault="00B90476">
      <w:pPr>
        <w:pStyle w:val="Ttulo3"/>
        <w:numPr>
          <w:ilvl w:val="0"/>
          <w:numId w:val="3"/>
        </w:numPr>
        <w:tabs>
          <w:tab w:val="left" w:pos="567"/>
          <w:tab w:val="left" w:pos="284"/>
        </w:tabs>
        <w:spacing w:before="0" w:after="0" w:line="276" w:lineRule="auto"/>
        <w:jc w:val="both"/>
        <w:rPr>
          <w:b w:val="0"/>
          <w:sz w:val="24"/>
          <w:szCs w:val="24"/>
        </w:rPr>
      </w:pPr>
      <w:r>
        <w:rPr>
          <w:rFonts w:ascii="Arial Narrow" w:eastAsia="Arial Narrow" w:hAnsi="Arial Narrow" w:cs="Arial Narrow"/>
          <w:sz w:val="24"/>
          <w:szCs w:val="24"/>
        </w:rPr>
        <w:t>Resolución 604 de 1993 – Normas sanitarias para establecimientos de expendio de alimentos</w:t>
      </w:r>
      <w:r>
        <w:rPr>
          <w:rFonts w:ascii="Arial Narrow" w:eastAsia="Arial Narrow" w:hAnsi="Arial Narrow" w:cs="Arial Narrow"/>
          <w:sz w:val="24"/>
          <w:szCs w:val="24"/>
        </w:rPr>
        <w:br/>
      </w:r>
      <w:r>
        <w:rPr>
          <w:rFonts w:ascii="Arial Narrow" w:eastAsia="Arial Narrow" w:hAnsi="Arial Narrow" w:cs="Arial Narrow"/>
          <w:b w:val="0"/>
          <w:sz w:val="24"/>
          <w:szCs w:val="24"/>
        </w:rPr>
        <w:t xml:space="preserve"> Establece las condiciones sanitarias mínimas que deben cumplir los establecimientos que comercializan alimentos y bebidas para proteger la salud pública.</w:t>
      </w:r>
      <w:r>
        <w:rPr>
          <w:rFonts w:ascii="Arial Narrow" w:eastAsia="Arial Narrow" w:hAnsi="Arial Narrow" w:cs="Arial Narrow"/>
          <w:b w:val="0"/>
          <w:sz w:val="24"/>
          <w:szCs w:val="24"/>
        </w:rPr>
        <w:br/>
      </w:r>
    </w:p>
    <w:p w:rsidR="009F0B88" w:rsidRDefault="00B90476">
      <w:pPr>
        <w:pStyle w:val="Ttulo3"/>
        <w:numPr>
          <w:ilvl w:val="0"/>
          <w:numId w:val="3"/>
        </w:numPr>
        <w:tabs>
          <w:tab w:val="left" w:pos="567"/>
          <w:tab w:val="left" w:pos="284"/>
        </w:tabs>
        <w:spacing w:before="0" w:after="240" w:line="276" w:lineRule="auto"/>
        <w:jc w:val="both"/>
        <w:rPr>
          <w:b w:val="0"/>
          <w:sz w:val="24"/>
          <w:szCs w:val="24"/>
        </w:rPr>
      </w:pPr>
      <w:bookmarkStart w:id="1" w:name="_heading=h.j0m8cgyhd39s" w:colFirst="0" w:colLast="0"/>
      <w:bookmarkEnd w:id="1"/>
      <w:r>
        <w:rPr>
          <w:rFonts w:ascii="Arial Narrow" w:eastAsia="Arial Narrow" w:hAnsi="Arial Narrow" w:cs="Arial Narrow"/>
          <w:sz w:val="24"/>
          <w:szCs w:val="24"/>
        </w:rPr>
        <w:t>Resolución 719 de 2015 – Normas sobre manipulación de alimentos</w:t>
      </w:r>
      <w:r>
        <w:rPr>
          <w:rFonts w:ascii="Arial Narrow" w:eastAsia="Arial Narrow" w:hAnsi="Arial Narrow" w:cs="Arial Narrow"/>
          <w:sz w:val="24"/>
          <w:szCs w:val="24"/>
        </w:rPr>
        <w:br/>
      </w:r>
      <w:r>
        <w:rPr>
          <w:rFonts w:ascii="Arial Narrow" w:eastAsia="Arial Narrow" w:hAnsi="Arial Narrow" w:cs="Arial Narrow"/>
          <w:b w:val="0"/>
          <w:sz w:val="24"/>
          <w:szCs w:val="24"/>
        </w:rPr>
        <w:t xml:space="preserve"> Regula la formación y certificación de los manipuladores de alimentos, estableciendo criterios de capacitación y buenas prácticas de manufactura.</w:t>
      </w:r>
    </w:p>
    <w:p w:rsidR="009F0B88" w:rsidRDefault="009F0B88">
      <w:pPr>
        <w:tabs>
          <w:tab w:val="left" w:pos="567"/>
          <w:tab w:val="left" w:pos="284"/>
        </w:tabs>
      </w:pPr>
    </w:p>
    <w:p w:rsidR="009F0B88" w:rsidRDefault="00B90476">
      <w:pPr>
        <w:pBdr>
          <w:right w:val="none" w:sz="0" w:space="3" w:color="000000"/>
        </w:pBdr>
        <w:shd w:val="clear" w:color="auto" w:fill="FFFFFF"/>
        <w:spacing w:after="140"/>
        <w:jc w:val="both"/>
        <w:rPr>
          <w:rFonts w:ascii="Arial Narrow" w:eastAsia="Arial Narrow" w:hAnsi="Arial Narrow" w:cs="Arial Narrow"/>
          <w:b/>
          <w:sz w:val="22"/>
          <w:szCs w:val="22"/>
        </w:rPr>
      </w:pPr>
      <w:r>
        <w:rPr>
          <w:rFonts w:ascii="Arial Narrow" w:eastAsia="Arial Narrow" w:hAnsi="Arial Narrow" w:cs="Arial Narrow"/>
          <w:b/>
          <w:sz w:val="22"/>
          <w:szCs w:val="22"/>
          <w:highlight w:val="white"/>
        </w:rPr>
        <w:t xml:space="preserve">5. </w:t>
      </w:r>
      <w:r>
        <w:rPr>
          <w:rFonts w:ascii="Arial Narrow" w:eastAsia="Arial Narrow" w:hAnsi="Arial Narrow" w:cs="Arial Narrow"/>
          <w:b/>
          <w:color w:val="000000"/>
          <w:sz w:val="22"/>
          <w:szCs w:val="22"/>
        </w:rPr>
        <w:t xml:space="preserve">CONVENIENCIA </w:t>
      </w:r>
    </w:p>
    <w:p w:rsidR="009F0B88" w:rsidRDefault="00B90476">
      <w:pPr>
        <w:pBdr>
          <w:right w:val="none" w:sz="0" w:space="3" w:color="000000"/>
        </w:pBdr>
        <w:shd w:val="clear" w:color="auto" w:fill="FFFFFF"/>
        <w:spacing w:after="140"/>
        <w:jc w:val="both"/>
        <w:rPr>
          <w:rFonts w:ascii="Arial Narrow" w:eastAsia="Arial Narrow" w:hAnsi="Arial Narrow" w:cs="Arial Narrow"/>
          <w:b/>
          <w:color w:val="000000"/>
          <w:sz w:val="22"/>
          <w:szCs w:val="22"/>
        </w:rPr>
      </w:pPr>
      <w:r>
        <w:rPr>
          <w:rFonts w:ascii="Arial Narrow" w:eastAsia="Arial Narrow" w:hAnsi="Arial Narrow" w:cs="Arial Narrow"/>
          <w:b/>
          <w:color w:val="000000"/>
          <w:sz w:val="22"/>
          <w:szCs w:val="22"/>
        </w:rPr>
        <w:t xml:space="preserve">5.1 Según el autor </w:t>
      </w:r>
    </w:p>
    <w:p w:rsidR="009F0B88" w:rsidRDefault="00B90476">
      <w:pPr>
        <w:pBdr>
          <w:right w:val="none" w:sz="0" w:space="3" w:color="000000"/>
        </w:pBdr>
        <w:shd w:val="clear" w:color="auto" w:fill="FFFFFF"/>
        <w:spacing w:before="240" w:after="240"/>
        <w:jc w:val="both"/>
        <w:rPr>
          <w:rFonts w:ascii="Arial Narrow" w:eastAsia="Arial Narrow" w:hAnsi="Arial Narrow" w:cs="Arial Narrow"/>
        </w:rPr>
      </w:pPr>
      <w:r>
        <w:rPr>
          <w:rFonts w:ascii="Arial Narrow" w:eastAsia="Arial Narrow" w:hAnsi="Arial Narrow" w:cs="Arial Narrow"/>
        </w:rPr>
        <w:t>La Inspección, Vigilancia y Control Sanitario (IVCS) es una herramienta esencial para garantizar que los establecimientos de preparación y consumo de alimentos cumplan con las normas sanitarias vigentes. En Bogotá, la Secretaría de Salud, a través de sus Subredes Integradas de Servicios de Salud, realiza visitas de inspección que permiten evaluar el nivel de cumplimiento de cada establecimiento y emitir un concepto sanitario clasificado de la siguiente manera:</w:t>
      </w:r>
    </w:p>
    <w:p w:rsidR="009F0B88" w:rsidRDefault="00B90476">
      <w:pPr>
        <w:numPr>
          <w:ilvl w:val="0"/>
          <w:numId w:val="5"/>
        </w:numPr>
        <w:pBdr>
          <w:right w:val="none" w:sz="0" w:space="3" w:color="000000"/>
        </w:pBdr>
        <w:shd w:val="clear" w:color="auto" w:fill="FFFFFF"/>
        <w:spacing w:before="240"/>
        <w:jc w:val="both"/>
        <w:rPr>
          <w:rFonts w:ascii="Arial Narrow" w:eastAsia="Arial Narrow" w:hAnsi="Arial Narrow" w:cs="Arial Narrow"/>
        </w:rPr>
      </w:pPr>
      <w:r>
        <w:rPr>
          <w:rFonts w:ascii="Arial Narrow" w:eastAsia="Arial Narrow" w:hAnsi="Arial Narrow" w:cs="Arial Narrow"/>
          <w:b/>
        </w:rPr>
        <w:t>Favorable:</w:t>
      </w:r>
      <w:r>
        <w:rPr>
          <w:rFonts w:ascii="Arial Narrow" w:eastAsia="Arial Narrow" w:hAnsi="Arial Narrow" w:cs="Arial Narrow"/>
        </w:rPr>
        <w:t xml:space="preserve"> Se asigna a establecimientos con un cumplimiento del 95% al 100% y que no presentan riesgos sanitarios.</w:t>
      </w:r>
    </w:p>
    <w:p w:rsidR="009F0B88" w:rsidRDefault="00B90476">
      <w:pPr>
        <w:numPr>
          <w:ilvl w:val="0"/>
          <w:numId w:val="5"/>
        </w:numPr>
        <w:pBdr>
          <w:right w:val="none" w:sz="0" w:space="3" w:color="000000"/>
        </w:pBdr>
        <w:shd w:val="clear" w:color="auto" w:fill="FFFFFF"/>
        <w:jc w:val="both"/>
        <w:rPr>
          <w:rFonts w:ascii="Arial Narrow" w:eastAsia="Arial Narrow" w:hAnsi="Arial Narrow" w:cs="Arial Narrow"/>
        </w:rPr>
      </w:pPr>
      <w:r>
        <w:rPr>
          <w:rFonts w:ascii="Arial Narrow" w:eastAsia="Arial Narrow" w:hAnsi="Arial Narrow" w:cs="Arial Narrow"/>
          <w:b/>
        </w:rPr>
        <w:t>Favorable con requerimientos:</w:t>
      </w:r>
      <w:r>
        <w:rPr>
          <w:rFonts w:ascii="Arial Narrow" w:eastAsia="Arial Narrow" w:hAnsi="Arial Narrow" w:cs="Arial Narrow"/>
        </w:rPr>
        <w:t xml:space="preserve"> Se aplica a aquellos establecimientos que alcanzan entre el 50% y el 94% de cumplimiento, sin que ello implique riesgos inminentes para la salud pública.</w:t>
      </w:r>
    </w:p>
    <w:p w:rsidR="009F0B88" w:rsidRDefault="00B90476">
      <w:pPr>
        <w:numPr>
          <w:ilvl w:val="0"/>
          <w:numId w:val="5"/>
        </w:numPr>
        <w:pBdr>
          <w:right w:val="none" w:sz="0" w:space="3" w:color="000000"/>
        </w:pBdr>
        <w:shd w:val="clear" w:color="auto" w:fill="FFFFFF"/>
        <w:spacing w:after="240"/>
        <w:jc w:val="both"/>
        <w:rPr>
          <w:rFonts w:ascii="Arial Narrow" w:eastAsia="Arial Narrow" w:hAnsi="Arial Narrow" w:cs="Arial Narrow"/>
        </w:rPr>
      </w:pPr>
      <w:r>
        <w:rPr>
          <w:rFonts w:ascii="Arial Narrow" w:eastAsia="Arial Narrow" w:hAnsi="Arial Narrow" w:cs="Arial Narrow"/>
          <w:b/>
        </w:rPr>
        <w:t>Desfavorable:</w:t>
      </w:r>
      <w:r>
        <w:rPr>
          <w:rFonts w:ascii="Arial Narrow" w:eastAsia="Arial Narrow" w:hAnsi="Arial Narrow" w:cs="Arial Narrow"/>
        </w:rPr>
        <w:t xml:space="preserve"> Se otorga cuando el cumplimiento es inferior al 49%, evidenciando un riesgo inminente para la salud pública.</w:t>
      </w:r>
    </w:p>
    <w:p w:rsidR="009F0B88" w:rsidRDefault="00B90476">
      <w:pPr>
        <w:pBdr>
          <w:right w:val="none" w:sz="0" w:space="3" w:color="000000"/>
        </w:pBdr>
        <w:shd w:val="clear" w:color="auto" w:fill="FFFFFF"/>
        <w:spacing w:before="240" w:after="240"/>
        <w:jc w:val="both"/>
        <w:rPr>
          <w:rFonts w:ascii="Arial Narrow" w:eastAsia="Arial Narrow" w:hAnsi="Arial Narrow" w:cs="Arial Narrow"/>
        </w:rPr>
      </w:pPr>
      <w:r>
        <w:rPr>
          <w:rFonts w:ascii="Arial Narrow" w:eastAsia="Arial Narrow" w:hAnsi="Arial Narrow" w:cs="Arial Narrow"/>
        </w:rPr>
        <w:t xml:space="preserve">Las visitas de inspección pueden originarse por diversas circunstancias, tales como la programación basada en el mapa de riesgos sanitarios, solicitudes directas de los propietarios, peticiones, quejas y reclamos (PQRS) presentadas ante la Secretaría de Salud, solicitudes oficiales de entidades gubernamentales, </w:t>
      </w:r>
      <w:r>
        <w:rPr>
          <w:rFonts w:ascii="Arial Narrow" w:eastAsia="Arial Narrow" w:hAnsi="Arial Narrow" w:cs="Arial Narrow"/>
        </w:rPr>
        <w:lastRenderedPageBreak/>
        <w:t>eventos de interés en salud pública o procesos sancionatorios administrativos en el marco de la Ley 9 de 1979 y el Decreto 780 de 2016.</w:t>
      </w:r>
    </w:p>
    <w:p w:rsidR="009F0B88" w:rsidRDefault="00B90476">
      <w:pPr>
        <w:pBdr>
          <w:right w:val="none" w:sz="0" w:space="3" w:color="000000"/>
        </w:pBdr>
        <w:shd w:val="clear" w:color="auto" w:fill="FFFFFF"/>
        <w:spacing w:before="240" w:after="240"/>
        <w:jc w:val="both"/>
        <w:rPr>
          <w:rFonts w:ascii="Arial Narrow" w:eastAsia="Arial Narrow" w:hAnsi="Arial Narrow" w:cs="Arial Narrow"/>
        </w:rPr>
      </w:pPr>
      <w:r>
        <w:rPr>
          <w:rFonts w:ascii="Arial Narrow" w:eastAsia="Arial Narrow" w:hAnsi="Arial Narrow" w:cs="Arial Narrow"/>
        </w:rPr>
        <w:t>Cuando se detectan incumplimientos que afectan la salud pública, las autoridades pueden aplicar diversas medidas de seguridad y sanciones, entre las cuales se incluyen la clausura temporal o definitiva del establecimiento, la suspensión parcial o total de servicios, el decomiso y la destrucción de productos en mal estado, y la imposición de multas que pueden alcanzar hasta 10.000 salarios diarios mínimos legales.</w:t>
      </w:r>
    </w:p>
    <w:p w:rsidR="009F0B88" w:rsidRDefault="00B90476">
      <w:pPr>
        <w:pBdr>
          <w:right w:val="none" w:sz="0" w:space="3" w:color="000000"/>
        </w:pBdr>
        <w:shd w:val="clear" w:color="auto" w:fill="FFFFFF"/>
        <w:spacing w:before="240" w:after="240"/>
        <w:jc w:val="both"/>
        <w:rPr>
          <w:rFonts w:ascii="Arial Narrow" w:eastAsia="Arial Narrow" w:hAnsi="Arial Narrow" w:cs="Arial Narrow"/>
        </w:rPr>
      </w:pPr>
      <w:r>
        <w:rPr>
          <w:rFonts w:ascii="Arial Narrow" w:eastAsia="Arial Narrow" w:hAnsi="Arial Narrow" w:cs="Arial Narrow"/>
        </w:rPr>
        <w:t>En este contexto, el programa “Restaurantes 1A” ha sido implementado en Bogotá como una iniciativa de la Secretaría de Salud. Este programa reconoce anualmente a los establecimientos que demuestran buenas prácticas de manufactura, condiciones sanitarias óptimas e inocuidad de los alimentos. Entre los beneficios de obtener esta distinción se destacan el aumento en la satisfacción y confianza de los consumidores, el incremento en la clientela y la reducción de desperdicios gracias a un manejo más adecuado de los alimentos.</w:t>
      </w:r>
    </w:p>
    <w:p w:rsidR="009F0B88" w:rsidRDefault="00B90476">
      <w:pPr>
        <w:pBdr>
          <w:right w:val="none" w:sz="0" w:space="3" w:color="000000"/>
        </w:pBdr>
        <w:shd w:val="clear" w:color="auto" w:fill="FFFFFF"/>
        <w:spacing w:before="240" w:after="240"/>
        <w:jc w:val="both"/>
        <w:rPr>
          <w:rFonts w:ascii="Arial Narrow" w:eastAsia="Arial Narrow" w:hAnsi="Arial Narrow" w:cs="Arial Narrow"/>
        </w:rPr>
      </w:pPr>
      <w:r>
        <w:rPr>
          <w:rFonts w:ascii="Arial Narrow" w:eastAsia="Arial Narrow" w:hAnsi="Arial Narrow" w:cs="Arial Narrow"/>
        </w:rPr>
        <w:t>Como ejemplo internacional, la experiencia de Nueva York resulta ilustrativa. En esa ciudad, el Departamento de Salud inspecciona anualmente alrededor de 24.000 restaurantes y exige la exhibición de calificaciones en letras (A, B, C) basadas en puntajes derivados de criterios rigurosos, tales como la manipulación de alimentos, el control de la temperatura, la higiene del personal, el mantenimiento del equipo y el control de plagas. Las infracciones graves pueden llevar al cierre temporal del establecimiento. La adopción de un sistema similar en Bogotá podría mejorar la transparencia y facilitar que los consumidores tomen decisiones informadas sobre los lugares donde consumen alimentos.</w:t>
      </w:r>
    </w:p>
    <w:p w:rsidR="009F0B88" w:rsidRDefault="00B90476">
      <w:pPr>
        <w:pBdr>
          <w:right w:val="none" w:sz="0" w:space="3" w:color="000000"/>
        </w:pBdr>
        <w:shd w:val="clear" w:color="auto" w:fill="FFFFFF"/>
        <w:spacing w:before="240" w:after="240"/>
        <w:jc w:val="both"/>
        <w:rPr>
          <w:rFonts w:ascii="Arial Narrow" w:eastAsia="Arial Narrow" w:hAnsi="Arial Narrow" w:cs="Arial Narrow"/>
          <w:b/>
          <w:sz w:val="22"/>
          <w:szCs w:val="22"/>
        </w:rPr>
      </w:pPr>
      <w:r>
        <w:rPr>
          <w:rFonts w:ascii="Arial Narrow" w:eastAsia="Arial Narrow" w:hAnsi="Arial Narrow" w:cs="Arial Narrow"/>
        </w:rPr>
        <w:t>Esta integración de procesos, programas y experiencias internacionales refuerza la importancia del IVCS como mecanismo para proteger la salud pública y promover entornos alimentarios seguros y de calidad.</w:t>
      </w:r>
    </w:p>
    <w:p w:rsidR="009F0B88" w:rsidRDefault="00B90476">
      <w:pPr>
        <w:spacing w:after="160" w:line="259" w:lineRule="auto"/>
        <w:jc w:val="both"/>
        <w:rPr>
          <w:rFonts w:ascii="Arial Narrow" w:eastAsia="Arial Narrow" w:hAnsi="Arial Narrow" w:cs="Arial Narrow"/>
          <w:b/>
          <w:sz w:val="22"/>
          <w:szCs w:val="22"/>
          <w:highlight w:val="white"/>
        </w:rPr>
      </w:pPr>
      <w:r>
        <w:rPr>
          <w:rFonts w:ascii="Arial Narrow" w:eastAsia="Arial Narrow" w:hAnsi="Arial Narrow" w:cs="Arial Narrow"/>
          <w:b/>
          <w:sz w:val="22"/>
          <w:szCs w:val="22"/>
          <w:highlight w:val="white"/>
        </w:rPr>
        <w:t>5.2 Consi</w:t>
      </w:r>
      <w:r>
        <w:rPr>
          <w:rFonts w:ascii="Arial Narrow" w:eastAsia="Arial Narrow" w:hAnsi="Arial Narrow" w:cs="Arial Narrow"/>
          <w:b/>
          <w:color w:val="000000"/>
          <w:sz w:val="22"/>
          <w:szCs w:val="22"/>
          <w:highlight w:val="white"/>
        </w:rPr>
        <w:t>deraciones del ponente</w:t>
      </w:r>
      <w:r>
        <w:rPr>
          <w:rFonts w:ascii="Arial Narrow" w:eastAsia="Arial Narrow" w:hAnsi="Arial Narrow" w:cs="Arial Narrow"/>
          <w:b/>
          <w:sz w:val="22"/>
          <w:szCs w:val="22"/>
          <w:highlight w:val="white"/>
        </w:rPr>
        <w:t xml:space="preserve"> sobre la conveniencia. </w:t>
      </w:r>
    </w:p>
    <w:p w:rsidR="009F0B88" w:rsidRDefault="00B90476">
      <w:pPr>
        <w:spacing w:before="240" w:after="240" w:line="259" w:lineRule="auto"/>
        <w:jc w:val="both"/>
        <w:rPr>
          <w:rFonts w:ascii="Arial Narrow" w:eastAsia="Arial Narrow" w:hAnsi="Arial Narrow" w:cs="Arial Narrow"/>
          <w:b/>
          <w:sz w:val="22"/>
          <w:szCs w:val="22"/>
          <w:highlight w:val="white"/>
        </w:rPr>
      </w:pPr>
      <w:r>
        <w:rPr>
          <w:rFonts w:ascii="Arial Narrow" w:eastAsia="Arial Narrow" w:hAnsi="Arial Narrow" w:cs="Arial Narrow"/>
          <w:b/>
          <w:sz w:val="22"/>
          <w:szCs w:val="22"/>
          <w:highlight w:val="white"/>
        </w:rPr>
        <w:t>La importancia de la inocuidad de los alimentos</w:t>
      </w:r>
    </w:p>
    <w:p w:rsidR="009F0B88" w:rsidRDefault="00B90476">
      <w:pPr>
        <w:spacing w:before="240" w:after="240" w:line="259" w:lineRule="auto"/>
        <w:jc w:val="both"/>
        <w:rPr>
          <w:rFonts w:ascii="Arial Narrow" w:eastAsia="Arial Narrow" w:hAnsi="Arial Narrow" w:cs="Arial Narrow"/>
          <w:sz w:val="22"/>
          <w:szCs w:val="22"/>
          <w:highlight w:val="white"/>
        </w:rPr>
      </w:pPr>
      <w:r>
        <w:rPr>
          <w:rFonts w:ascii="Arial Narrow" w:eastAsia="Arial Narrow" w:hAnsi="Arial Narrow" w:cs="Arial Narrow"/>
          <w:sz w:val="22"/>
          <w:szCs w:val="22"/>
          <w:highlight w:val="white"/>
        </w:rPr>
        <w:t>La inocuidad (o salubridad) de los alimentos, la nutrición y la seguridad alimentaria son aspectos indisociables. Se estima que cada año alrededor de 600 millones de personas —casi una de cada diez— enferman por consumir alimentos contaminados, y 420 000 mueren por esta causa.</w:t>
      </w:r>
    </w:p>
    <w:p w:rsidR="009F0B88" w:rsidRDefault="00B90476">
      <w:pPr>
        <w:spacing w:before="240" w:after="240" w:line="259" w:lineRule="auto"/>
        <w:jc w:val="both"/>
        <w:rPr>
          <w:rFonts w:ascii="Arial Narrow" w:eastAsia="Arial Narrow" w:hAnsi="Arial Narrow" w:cs="Arial Narrow"/>
          <w:sz w:val="22"/>
          <w:szCs w:val="22"/>
          <w:highlight w:val="white"/>
        </w:rPr>
      </w:pPr>
      <w:r>
        <w:rPr>
          <w:rFonts w:ascii="Arial Narrow" w:eastAsia="Arial Narrow" w:hAnsi="Arial Narrow" w:cs="Arial Narrow"/>
          <w:sz w:val="22"/>
          <w:szCs w:val="22"/>
          <w:highlight w:val="white"/>
        </w:rPr>
        <w:t>En los países de ingresos bajos y medianos, los alimentos insalubres generan pérdidas anuales de aproximadamente 110 000 millones de dólares en productividad y gastos médicos. Los niños menores de cinco años son especialmente vulnerables, soportando el 40% de la carga de enfermedades transmitidas por los alimentos, con un saldo de 125.000 muertes cada año.</w:t>
      </w:r>
    </w:p>
    <w:p w:rsidR="009F0B88" w:rsidRDefault="00B90476">
      <w:pPr>
        <w:spacing w:before="240" w:after="240" w:line="259" w:lineRule="auto"/>
        <w:jc w:val="both"/>
        <w:rPr>
          <w:rFonts w:ascii="Arial Narrow" w:eastAsia="Arial Narrow" w:hAnsi="Arial Narrow" w:cs="Arial Narrow"/>
          <w:sz w:val="22"/>
          <w:szCs w:val="22"/>
          <w:highlight w:val="white"/>
        </w:rPr>
      </w:pPr>
      <w:r>
        <w:rPr>
          <w:rFonts w:ascii="Arial Narrow" w:eastAsia="Arial Narrow" w:hAnsi="Arial Narrow" w:cs="Arial Narrow"/>
          <w:sz w:val="22"/>
          <w:szCs w:val="22"/>
          <w:highlight w:val="white"/>
        </w:rPr>
        <w:t>Las enfermedades de origen alimentario no solo afectan la salud pública, sino que también sobrecargan los sistemas de atención médica, obstaculizan el desarrollo económico y social, e impactan negativamente en las economías nacionales, el turismo y el comercio.</w:t>
      </w:r>
    </w:p>
    <w:p w:rsidR="009F0B88" w:rsidRDefault="00B90476">
      <w:pPr>
        <w:spacing w:before="240" w:after="240" w:line="259" w:lineRule="auto"/>
        <w:jc w:val="both"/>
        <w:rPr>
          <w:rFonts w:ascii="Arial Narrow" w:eastAsia="Arial Narrow" w:hAnsi="Arial Narrow" w:cs="Arial Narrow"/>
          <w:sz w:val="22"/>
          <w:szCs w:val="22"/>
          <w:highlight w:val="white"/>
        </w:rPr>
      </w:pPr>
      <w:r>
        <w:rPr>
          <w:rFonts w:ascii="Arial Narrow" w:eastAsia="Arial Narrow" w:hAnsi="Arial Narrow" w:cs="Arial Narrow"/>
          <w:sz w:val="22"/>
          <w:szCs w:val="22"/>
          <w:highlight w:val="white"/>
        </w:rPr>
        <w:lastRenderedPageBreak/>
        <w:t>Garantizar la inocuidad de los alimentos es una responsabilidad compartida entre diversas administraciones y requiere la aplicación del enfoque multisectorial de «Una sola salud».</w:t>
      </w:r>
    </w:p>
    <w:p w:rsidR="009F0B88" w:rsidRDefault="00B90476">
      <w:pPr>
        <w:spacing w:before="240" w:after="240" w:line="259" w:lineRule="auto"/>
        <w:jc w:val="both"/>
        <w:rPr>
          <w:rFonts w:ascii="Arial Narrow" w:eastAsia="Arial Narrow" w:hAnsi="Arial Narrow" w:cs="Arial Narrow"/>
          <w:sz w:val="22"/>
          <w:szCs w:val="22"/>
          <w:highlight w:val="white"/>
        </w:rPr>
      </w:pPr>
      <w:r>
        <w:rPr>
          <w:rFonts w:ascii="Arial Narrow" w:eastAsia="Arial Narrow" w:hAnsi="Arial Narrow" w:cs="Arial Narrow"/>
          <w:sz w:val="22"/>
          <w:szCs w:val="22"/>
          <w:highlight w:val="white"/>
        </w:rPr>
        <w:t>Las enfermedades de origen alimentario se deben principalmente a infecciones causadas por bacterias, virus, parásitos o sustancias químicas tóxicas que ingresan al organismo a través del agua o los alimentos contaminados. La contaminación química puede provocar intoxicaciones agudas o enfermedades crónicas, como el cáncer. Además, muchas enfermedades transmitidas por los alimentos pueden causar discapacidades permanentes e incluso la muerte.</w:t>
      </w:r>
    </w:p>
    <w:p w:rsidR="009F0B88" w:rsidRDefault="00B90476">
      <w:pPr>
        <w:spacing w:before="240" w:after="240" w:line="259" w:lineRule="auto"/>
        <w:jc w:val="both"/>
        <w:rPr>
          <w:rFonts w:ascii="Arial Narrow" w:eastAsia="Arial Narrow" w:hAnsi="Arial Narrow" w:cs="Arial Narrow"/>
          <w:sz w:val="22"/>
          <w:szCs w:val="22"/>
          <w:highlight w:val="white"/>
        </w:rPr>
      </w:pPr>
      <w:r>
        <w:rPr>
          <w:rFonts w:ascii="Arial Narrow" w:eastAsia="Arial Narrow" w:hAnsi="Arial Narrow" w:cs="Arial Narrow"/>
          <w:sz w:val="22"/>
          <w:szCs w:val="22"/>
          <w:highlight w:val="white"/>
        </w:rPr>
        <w:t>Algunos de los principales riesgos de origen alimentario:</w:t>
      </w:r>
    </w:p>
    <w:p w:rsidR="009F0B88" w:rsidRDefault="00B90476">
      <w:pPr>
        <w:pStyle w:val="Ttulo2"/>
        <w:keepNext w:val="0"/>
        <w:keepLines w:val="0"/>
        <w:spacing w:before="360" w:after="80" w:line="259" w:lineRule="auto"/>
        <w:jc w:val="both"/>
        <w:rPr>
          <w:rFonts w:ascii="Arial Narrow" w:eastAsia="Arial Narrow" w:hAnsi="Arial Narrow" w:cs="Arial Narrow"/>
          <w:b/>
          <w:color w:val="000000"/>
          <w:sz w:val="34"/>
          <w:szCs w:val="34"/>
          <w:highlight w:val="white"/>
        </w:rPr>
      </w:pPr>
      <w:bookmarkStart w:id="2" w:name="_heading=h.s7pjnua38qxc" w:colFirst="0" w:colLast="0"/>
      <w:bookmarkEnd w:id="2"/>
      <w:r>
        <w:rPr>
          <w:rFonts w:ascii="Arial Narrow" w:eastAsia="Arial Narrow" w:hAnsi="Arial Narrow" w:cs="Arial Narrow"/>
          <w:b/>
          <w:color w:val="000000"/>
          <w:sz w:val="22"/>
          <w:szCs w:val="22"/>
          <w:highlight w:val="white"/>
        </w:rPr>
        <w:t xml:space="preserve"> Bacterias</w:t>
      </w:r>
    </w:p>
    <w:p w:rsidR="009F0B88" w:rsidRDefault="00B90476">
      <w:pPr>
        <w:spacing w:before="240" w:after="240" w:line="259" w:lineRule="auto"/>
        <w:jc w:val="both"/>
        <w:rPr>
          <w:rFonts w:ascii="Arial Narrow" w:eastAsia="Arial Narrow" w:hAnsi="Arial Narrow" w:cs="Arial Narrow"/>
          <w:sz w:val="22"/>
          <w:szCs w:val="22"/>
          <w:highlight w:val="white"/>
        </w:rPr>
      </w:pPr>
      <w:r>
        <w:rPr>
          <w:rFonts w:ascii="Arial Narrow" w:eastAsia="Arial Narrow" w:hAnsi="Arial Narrow" w:cs="Arial Narrow"/>
          <w:sz w:val="22"/>
          <w:szCs w:val="22"/>
          <w:highlight w:val="white"/>
        </w:rPr>
        <w:t>Algunas de las bacterias más comunes que causan enfermedades transmitidas por los alimentos son:</w:t>
      </w:r>
    </w:p>
    <w:p w:rsidR="009F0B88" w:rsidRDefault="00B90476">
      <w:pPr>
        <w:numPr>
          <w:ilvl w:val="0"/>
          <w:numId w:val="4"/>
        </w:numPr>
        <w:spacing w:before="240" w:line="259" w:lineRule="auto"/>
        <w:rPr>
          <w:rFonts w:ascii="Arial Narrow" w:eastAsia="Arial Narrow" w:hAnsi="Arial Narrow" w:cs="Arial Narrow"/>
          <w:sz w:val="22"/>
          <w:szCs w:val="22"/>
          <w:highlight w:val="white"/>
        </w:rPr>
      </w:pPr>
      <w:r>
        <w:rPr>
          <w:rFonts w:ascii="Arial Narrow" w:eastAsia="Arial Narrow" w:hAnsi="Arial Narrow" w:cs="Arial Narrow"/>
          <w:b/>
          <w:sz w:val="22"/>
          <w:szCs w:val="22"/>
          <w:highlight w:val="white"/>
        </w:rPr>
        <w:t xml:space="preserve">Salmonella, </w:t>
      </w:r>
      <w:proofErr w:type="spellStart"/>
      <w:r>
        <w:rPr>
          <w:rFonts w:ascii="Arial Narrow" w:eastAsia="Arial Narrow" w:hAnsi="Arial Narrow" w:cs="Arial Narrow"/>
          <w:b/>
          <w:sz w:val="22"/>
          <w:szCs w:val="22"/>
          <w:highlight w:val="white"/>
        </w:rPr>
        <w:t>Campylobacter</w:t>
      </w:r>
      <w:proofErr w:type="spellEnd"/>
      <w:r>
        <w:rPr>
          <w:rFonts w:ascii="Arial Narrow" w:eastAsia="Arial Narrow" w:hAnsi="Arial Narrow" w:cs="Arial Narrow"/>
          <w:b/>
          <w:sz w:val="22"/>
          <w:szCs w:val="22"/>
          <w:highlight w:val="white"/>
        </w:rPr>
        <w:t xml:space="preserve"> y </w:t>
      </w:r>
      <w:proofErr w:type="spellStart"/>
      <w:r>
        <w:rPr>
          <w:rFonts w:ascii="Arial Narrow" w:eastAsia="Arial Narrow" w:hAnsi="Arial Narrow" w:cs="Arial Narrow"/>
          <w:b/>
          <w:sz w:val="22"/>
          <w:szCs w:val="22"/>
          <w:highlight w:val="white"/>
        </w:rPr>
        <w:t>Escherichia</w:t>
      </w:r>
      <w:proofErr w:type="spellEnd"/>
      <w:r>
        <w:rPr>
          <w:rFonts w:ascii="Arial Narrow" w:eastAsia="Arial Narrow" w:hAnsi="Arial Narrow" w:cs="Arial Narrow"/>
          <w:b/>
          <w:sz w:val="22"/>
          <w:szCs w:val="22"/>
          <w:highlight w:val="white"/>
        </w:rPr>
        <w:t xml:space="preserve"> </w:t>
      </w:r>
      <w:proofErr w:type="spellStart"/>
      <w:r>
        <w:rPr>
          <w:rFonts w:ascii="Arial Narrow" w:eastAsia="Arial Narrow" w:hAnsi="Arial Narrow" w:cs="Arial Narrow"/>
          <w:b/>
          <w:sz w:val="22"/>
          <w:szCs w:val="22"/>
          <w:highlight w:val="white"/>
        </w:rPr>
        <w:t>coli</w:t>
      </w:r>
      <w:proofErr w:type="spellEnd"/>
      <w:r>
        <w:rPr>
          <w:rFonts w:ascii="Arial Narrow" w:eastAsia="Arial Narrow" w:hAnsi="Arial Narrow" w:cs="Arial Narrow"/>
          <w:b/>
          <w:sz w:val="22"/>
          <w:szCs w:val="22"/>
          <w:highlight w:val="white"/>
        </w:rPr>
        <w:t xml:space="preserve"> </w:t>
      </w:r>
      <w:proofErr w:type="spellStart"/>
      <w:r>
        <w:rPr>
          <w:rFonts w:ascii="Arial Narrow" w:eastAsia="Arial Narrow" w:hAnsi="Arial Narrow" w:cs="Arial Narrow"/>
          <w:b/>
          <w:sz w:val="22"/>
          <w:szCs w:val="22"/>
          <w:highlight w:val="white"/>
        </w:rPr>
        <w:t>enterohemorrágica</w:t>
      </w:r>
      <w:proofErr w:type="spellEnd"/>
      <w:r>
        <w:rPr>
          <w:rFonts w:ascii="Arial Narrow" w:eastAsia="Arial Narrow" w:hAnsi="Arial Narrow" w:cs="Arial Narrow"/>
          <w:sz w:val="22"/>
          <w:szCs w:val="22"/>
          <w:highlight w:val="white"/>
        </w:rPr>
        <w:t>: Estos patógenos afectan a millones de personas anualmente y pueden causar fiebre, dolor de cabeza, náuseas, vómitos, cólicos abdominales y diarrea.</w:t>
      </w:r>
    </w:p>
    <w:p w:rsidR="009F0B88" w:rsidRDefault="00B90476">
      <w:pPr>
        <w:numPr>
          <w:ilvl w:val="1"/>
          <w:numId w:val="4"/>
        </w:numPr>
        <w:spacing w:line="259" w:lineRule="auto"/>
        <w:rPr>
          <w:rFonts w:ascii="Arial Narrow" w:eastAsia="Arial Narrow" w:hAnsi="Arial Narrow" w:cs="Arial Narrow"/>
          <w:sz w:val="22"/>
          <w:szCs w:val="22"/>
          <w:highlight w:val="white"/>
        </w:rPr>
      </w:pPr>
      <w:r>
        <w:rPr>
          <w:rFonts w:ascii="Arial Narrow" w:eastAsia="Arial Narrow" w:hAnsi="Arial Narrow" w:cs="Arial Narrow"/>
          <w:i/>
          <w:sz w:val="22"/>
          <w:szCs w:val="22"/>
          <w:highlight w:val="white"/>
        </w:rPr>
        <w:t>Salmonella</w:t>
      </w:r>
      <w:r>
        <w:rPr>
          <w:rFonts w:ascii="Arial Narrow" w:eastAsia="Arial Narrow" w:hAnsi="Arial Narrow" w:cs="Arial Narrow"/>
          <w:sz w:val="22"/>
          <w:szCs w:val="22"/>
          <w:highlight w:val="white"/>
        </w:rPr>
        <w:t>: Se encuentra en huevos, carne de ave y otros productos de origen animal.</w:t>
      </w:r>
    </w:p>
    <w:p w:rsidR="009F0B88" w:rsidRDefault="00B90476">
      <w:pPr>
        <w:numPr>
          <w:ilvl w:val="1"/>
          <w:numId w:val="4"/>
        </w:numPr>
        <w:spacing w:line="259" w:lineRule="auto"/>
        <w:rPr>
          <w:rFonts w:ascii="Arial Narrow" w:eastAsia="Arial Narrow" w:hAnsi="Arial Narrow" w:cs="Arial Narrow"/>
          <w:sz w:val="22"/>
          <w:szCs w:val="22"/>
          <w:highlight w:val="white"/>
        </w:rPr>
      </w:pPr>
      <w:proofErr w:type="spellStart"/>
      <w:r>
        <w:rPr>
          <w:rFonts w:ascii="Arial Narrow" w:eastAsia="Arial Narrow" w:hAnsi="Arial Narrow" w:cs="Arial Narrow"/>
          <w:i/>
          <w:sz w:val="22"/>
          <w:szCs w:val="22"/>
          <w:highlight w:val="white"/>
        </w:rPr>
        <w:t>Campylobacter</w:t>
      </w:r>
      <w:proofErr w:type="spellEnd"/>
      <w:r>
        <w:rPr>
          <w:rFonts w:ascii="Arial Narrow" w:eastAsia="Arial Narrow" w:hAnsi="Arial Narrow" w:cs="Arial Narrow"/>
          <w:sz w:val="22"/>
          <w:szCs w:val="22"/>
          <w:highlight w:val="white"/>
        </w:rPr>
        <w:t>: Se transmite principalmente por la ingestión de leche cruda, carne de ave cruda o poco cocinada y agua contaminada.</w:t>
      </w:r>
    </w:p>
    <w:p w:rsidR="009F0B88" w:rsidRDefault="00B90476">
      <w:pPr>
        <w:numPr>
          <w:ilvl w:val="1"/>
          <w:numId w:val="4"/>
        </w:numPr>
        <w:spacing w:line="259" w:lineRule="auto"/>
        <w:rPr>
          <w:rFonts w:ascii="Arial Narrow" w:eastAsia="Arial Narrow" w:hAnsi="Arial Narrow" w:cs="Arial Narrow"/>
          <w:sz w:val="22"/>
          <w:szCs w:val="22"/>
          <w:highlight w:val="white"/>
        </w:rPr>
      </w:pPr>
      <w:proofErr w:type="spellStart"/>
      <w:r>
        <w:rPr>
          <w:rFonts w:ascii="Arial Narrow" w:eastAsia="Arial Narrow" w:hAnsi="Arial Narrow" w:cs="Arial Narrow"/>
          <w:i/>
          <w:sz w:val="22"/>
          <w:szCs w:val="22"/>
          <w:highlight w:val="white"/>
        </w:rPr>
        <w:t>Escherichia</w:t>
      </w:r>
      <w:proofErr w:type="spellEnd"/>
      <w:r>
        <w:rPr>
          <w:rFonts w:ascii="Arial Narrow" w:eastAsia="Arial Narrow" w:hAnsi="Arial Narrow" w:cs="Arial Narrow"/>
          <w:i/>
          <w:sz w:val="22"/>
          <w:szCs w:val="22"/>
          <w:highlight w:val="white"/>
        </w:rPr>
        <w:t xml:space="preserve"> </w:t>
      </w:r>
      <w:proofErr w:type="spellStart"/>
      <w:r>
        <w:rPr>
          <w:rFonts w:ascii="Arial Narrow" w:eastAsia="Arial Narrow" w:hAnsi="Arial Narrow" w:cs="Arial Narrow"/>
          <w:i/>
          <w:sz w:val="22"/>
          <w:szCs w:val="22"/>
          <w:highlight w:val="white"/>
        </w:rPr>
        <w:t>coli</w:t>
      </w:r>
      <w:proofErr w:type="spellEnd"/>
      <w:r>
        <w:rPr>
          <w:rFonts w:ascii="Arial Narrow" w:eastAsia="Arial Narrow" w:hAnsi="Arial Narrow" w:cs="Arial Narrow"/>
          <w:i/>
          <w:sz w:val="22"/>
          <w:szCs w:val="22"/>
          <w:highlight w:val="white"/>
        </w:rPr>
        <w:t xml:space="preserve"> </w:t>
      </w:r>
      <w:proofErr w:type="spellStart"/>
      <w:r>
        <w:rPr>
          <w:rFonts w:ascii="Arial Narrow" w:eastAsia="Arial Narrow" w:hAnsi="Arial Narrow" w:cs="Arial Narrow"/>
          <w:i/>
          <w:sz w:val="22"/>
          <w:szCs w:val="22"/>
          <w:highlight w:val="white"/>
        </w:rPr>
        <w:t>enterohemorrágica</w:t>
      </w:r>
      <w:proofErr w:type="spellEnd"/>
      <w:r>
        <w:rPr>
          <w:rFonts w:ascii="Arial Narrow" w:eastAsia="Arial Narrow" w:hAnsi="Arial Narrow" w:cs="Arial Narrow"/>
          <w:sz w:val="22"/>
          <w:szCs w:val="22"/>
          <w:highlight w:val="white"/>
        </w:rPr>
        <w:t>: Se adquiere por el consumo de leche no pasteurizada, carne poco cocinada, y frutas y hortalizas frescas.</w:t>
      </w:r>
    </w:p>
    <w:p w:rsidR="009F0B88" w:rsidRDefault="00B90476">
      <w:pPr>
        <w:numPr>
          <w:ilvl w:val="0"/>
          <w:numId w:val="4"/>
        </w:numPr>
        <w:spacing w:line="259" w:lineRule="auto"/>
        <w:rPr>
          <w:rFonts w:ascii="Arial Narrow" w:eastAsia="Arial Narrow" w:hAnsi="Arial Narrow" w:cs="Arial Narrow"/>
          <w:sz w:val="22"/>
          <w:szCs w:val="22"/>
          <w:highlight w:val="white"/>
        </w:rPr>
      </w:pPr>
      <w:r>
        <w:rPr>
          <w:rFonts w:ascii="Arial Narrow" w:eastAsia="Arial Narrow" w:hAnsi="Arial Narrow" w:cs="Arial Narrow"/>
          <w:b/>
          <w:sz w:val="22"/>
          <w:szCs w:val="22"/>
          <w:highlight w:val="white"/>
        </w:rPr>
        <w:t>Listeria</w:t>
      </w:r>
      <w:r>
        <w:rPr>
          <w:rFonts w:ascii="Arial Narrow" w:eastAsia="Arial Narrow" w:hAnsi="Arial Narrow" w:cs="Arial Narrow"/>
          <w:sz w:val="22"/>
          <w:szCs w:val="22"/>
          <w:highlight w:val="white"/>
        </w:rPr>
        <w:t>: Puede causar abortos espontáneos y muerte neonatal. Se encuentra en productos lácteos no pasteurizados y alimentos listos para el consumo. Su capacidad de crecimiento a temperaturas de refrigeración la hace especialmente peligrosa.</w:t>
      </w:r>
    </w:p>
    <w:p w:rsidR="009F0B88" w:rsidRDefault="00B90476">
      <w:pPr>
        <w:numPr>
          <w:ilvl w:val="0"/>
          <w:numId w:val="4"/>
        </w:numPr>
        <w:spacing w:after="240" w:line="259" w:lineRule="auto"/>
        <w:rPr>
          <w:rFonts w:ascii="Arial Narrow" w:eastAsia="Arial Narrow" w:hAnsi="Arial Narrow" w:cs="Arial Narrow"/>
          <w:sz w:val="22"/>
          <w:szCs w:val="22"/>
          <w:highlight w:val="white"/>
        </w:rPr>
      </w:pPr>
      <w:r>
        <w:rPr>
          <w:rFonts w:ascii="Arial Narrow" w:eastAsia="Arial Narrow" w:hAnsi="Arial Narrow" w:cs="Arial Narrow"/>
          <w:b/>
          <w:sz w:val="22"/>
          <w:szCs w:val="22"/>
          <w:highlight w:val="white"/>
        </w:rPr>
        <w:t xml:space="preserve">Vibrio </w:t>
      </w:r>
      <w:proofErr w:type="spellStart"/>
      <w:r>
        <w:rPr>
          <w:rFonts w:ascii="Arial Narrow" w:eastAsia="Arial Narrow" w:hAnsi="Arial Narrow" w:cs="Arial Narrow"/>
          <w:b/>
          <w:sz w:val="22"/>
          <w:szCs w:val="22"/>
          <w:highlight w:val="white"/>
        </w:rPr>
        <w:t>cholerae</w:t>
      </w:r>
      <w:proofErr w:type="spellEnd"/>
      <w:r>
        <w:rPr>
          <w:rFonts w:ascii="Arial Narrow" w:eastAsia="Arial Narrow" w:hAnsi="Arial Narrow" w:cs="Arial Narrow"/>
          <w:sz w:val="22"/>
          <w:szCs w:val="22"/>
          <w:highlight w:val="white"/>
        </w:rPr>
        <w:t>: Se transmite por agua o alimentos contaminados y causa cólicos abdominales, vómitos y diarrea líquida grave, lo que puede llevar a la deshidratación y la muerte. Se encuentra en hortalizas crudas y mariscos crudos o insuficientemente cocinados.</w:t>
      </w:r>
    </w:p>
    <w:p w:rsidR="009F0B88" w:rsidRDefault="00B90476">
      <w:pPr>
        <w:spacing w:before="240" w:after="240" w:line="259" w:lineRule="auto"/>
        <w:jc w:val="both"/>
        <w:rPr>
          <w:rFonts w:ascii="Arial Narrow" w:eastAsia="Arial Narrow" w:hAnsi="Arial Narrow" w:cs="Arial Narrow"/>
          <w:sz w:val="22"/>
          <w:szCs w:val="22"/>
          <w:highlight w:val="white"/>
        </w:rPr>
      </w:pPr>
      <w:r>
        <w:rPr>
          <w:rFonts w:ascii="Arial Narrow" w:eastAsia="Arial Narrow" w:hAnsi="Arial Narrow" w:cs="Arial Narrow"/>
          <w:sz w:val="22"/>
          <w:szCs w:val="22"/>
          <w:highlight w:val="white"/>
        </w:rPr>
        <w:t>El uso inadecuado de antibióticos en la medicina veterinaria y humana ha generado resistencia bacteriana, haciendo que algunos tratamientos sean menos eficaces contra estas infecciones.</w:t>
      </w:r>
    </w:p>
    <w:p w:rsidR="009F0B88" w:rsidRDefault="00B90476">
      <w:pPr>
        <w:spacing w:before="240" w:after="240" w:line="259" w:lineRule="auto"/>
        <w:jc w:val="both"/>
        <w:rPr>
          <w:rFonts w:ascii="Arial Narrow" w:eastAsia="Arial Narrow" w:hAnsi="Arial Narrow" w:cs="Arial Narrow"/>
          <w:b/>
          <w:color w:val="000000"/>
          <w:sz w:val="34"/>
          <w:szCs w:val="34"/>
          <w:highlight w:val="white"/>
        </w:rPr>
      </w:pPr>
      <w:r>
        <w:rPr>
          <w:rFonts w:ascii="Arial Narrow" w:eastAsia="Arial Narrow" w:hAnsi="Arial Narrow" w:cs="Arial Narrow"/>
          <w:b/>
          <w:color w:val="000000"/>
          <w:sz w:val="34"/>
          <w:szCs w:val="34"/>
          <w:highlight w:val="white"/>
        </w:rPr>
        <w:t xml:space="preserve"> </w:t>
      </w:r>
      <w:r>
        <w:rPr>
          <w:rFonts w:ascii="Arial Narrow" w:eastAsia="Arial Narrow" w:hAnsi="Arial Narrow" w:cs="Arial Narrow"/>
          <w:b/>
          <w:color w:val="000000"/>
          <w:sz w:val="22"/>
          <w:szCs w:val="22"/>
          <w:highlight w:val="white"/>
        </w:rPr>
        <w:t>Virus</w:t>
      </w:r>
    </w:p>
    <w:p w:rsidR="009F0B88" w:rsidRDefault="00B90476">
      <w:pPr>
        <w:spacing w:before="240" w:after="240" w:line="259" w:lineRule="auto"/>
        <w:jc w:val="both"/>
        <w:rPr>
          <w:rFonts w:ascii="Arial Narrow" w:eastAsia="Arial Narrow" w:hAnsi="Arial Narrow" w:cs="Arial Narrow"/>
          <w:sz w:val="22"/>
          <w:szCs w:val="22"/>
          <w:highlight w:val="white"/>
        </w:rPr>
      </w:pPr>
      <w:r>
        <w:rPr>
          <w:rFonts w:ascii="Arial Narrow" w:eastAsia="Arial Narrow" w:hAnsi="Arial Narrow" w:cs="Arial Narrow"/>
          <w:sz w:val="22"/>
          <w:szCs w:val="22"/>
          <w:highlight w:val="white"/>
        </w:rPr>
        <w:t>Algunos virus también pueden transmitirse por los alimentos:</w:t>
      </w:r>
    </w:p>
    <w:p w:rsidR="009F0B88" w:rsidRDefault="00B90476">
      <w:pPr>
        <w:numPr>
          <w:ilvl w:val="0"/>
          <w:numId w:val="1"/>
        </w:numPr>
        <w:spacing w:before="240" w:line="259" w:lineRule="auto"/>
        <w:rPr>
          <w:rFonts w:ascii="Arial Narrow" w:eastAsia="Arial Narrow" w:hAnsi="Arial Narrow" w:cs="Arial Narrow"/>
          <w:sz w:val="22"/>
          <w:szCs w:val="22"/>
          <w:highlight w:val="white"/>
        </w:rPr>
      </w:pPr>
      <w:r>
        <w:rPr>
          <w:rFonts w:ascii="Arial Narrow" w:eastAsia="Arial Narrow" w:hAnsi="Arial Narrow" w:cs="Arial Narrow"/>
          <w:b/>
          <w:sz w:val="22"/>
          <w:szCs w:val="22"/>
          <w:highlight w:val="white"/>
        </w:rPr>
        <w:t>Norovirus</w:t>
      </w:r>
      <w:r>
        <w:rPr>
          <w:rFonts w:ascii="Arial Narrow" w:eastAsia="Arial Narrow" w:hAnsi="Arial Narrow" w:cs="Arial Narrow"/>
          <w:sz w:val="22"/>
          <w:szCs w:val="22"/>
          <w:highlight w:val="white"/>
        </w:rPr>
        <w:t>: Provoca síntomas como náuseas, vómitos intensos, diarrea líquida y cólicos abdominales.</w:t>
      </w:r>
    </w:p>
    <w:p w:rsidR="009F0B88" w:rsidRDefault="00B90476">
      <w:pPr>
        <w:numPr>
          <w:ilvl w:val="0"/>
          <w:numId w:val="1"/>
        </w:numPr>
        <w:spacing w:after="240" w:line="259" w:lineRule="auto"/>
        <w:rPr>
          <w:rFonts w:ascii="Arial Narrow" w:eastAsia="Arial Narrow" w:hAnsi="Arial Narrow" w:cs="Arial Narrow"/>
          <w:sz w:val="22"/>
          <w:szCs w:val="22"/>
          <w:highlight w:val="white"/>
        </w:rPr>
      </w:pPr>
      <w:r>
        <w:rPr>
          <w:rFonts w:ascii="Arial Narrow" w:eastAsia="Arial Narrow" w:hAnsi="Arial Narrow" w:cs="Arial Narrow"/>
          <w:b/>
          <w:sz w:val="22"/>
          <w:szCs w:val="22"/>
          <w:highlight w:val="white"/>
        </w:rPr>
        <w:t>Hepatitis A</w:t>
      </w:r>
      <w:r>
        <w:rPr>
          <w:rFonts w:ascii="Arial Narrow" w:eastAsia="Arial Narrow" w:hAnsi="Arial Narrow" w:cs="Arial Narrow"/>
          <w:sz w:val="22"/>
          <w:szCs w:val="22"/>
          <w:highlight w:val="white"/>
        </w:rPr>
        <w:t>: Se asocia con la ingestión de mariscos crudos o poco cocinados y productos crudos contaminados, causando inflamación hepática persistente.</w:t>
      </w:r>
    </w:p>
    <w:p w:rsidR="009F0B88" w:rsidRDefault="009F0B88">
      <w:pPr>
        <w:spacing w:before="240" w:after="240" w:line="259" w:lineRule="auto"/>
        <w:ind w:left="720"/>
        <w:rPr>
          <w:rFonts w:ascii="Arial Narrow" w:eastAsia="Arial Narrow" w:hAnsi="Arial Narrow" w:cs="Arial Narrow"/>
          <w:sz w:val="22"/>
          <w:szCs w:val="22"/>
          <w:highlight w:val="white"/>
        </w:rPr>
      </w:pPr>
    </w:p>
    <w:p w:rsidR="009F0B88" w:rsidRDefault="00B90476">
      <w:pPr>
        <w:pStyle w:val="Ttulo2"/>
        <w:keepNext w:val="0"/>
        <w:keepLines w:val="0"/>
        <w:spacing w:before="360" w:after="80" w:line="259" w:lineRule="auto"/>
        <w:jc w:val="both"/>
        <w:rPr>
          <w:rFonts w:ascii="Arial Narrow" w:eastAsia="Arial Narrow" w:hAnsi="Arial Narrow" w:cs="Arial Narrow"/>
          <w:b/>
          <w:color w:val="000000"/>
          <w:sz w:val="22"/>
          <w:szCs w:val="22"/>
          <w:highlight w:val="white"/>
        </w:rPr>
      </w:pPr>
      <w:bookmarkStart w:id="3" w:name="_heading=h.gfynrgyg3fq" w:colFirst="0" w:colLast="0"/>
      <w:bookmarkEnd w:id="3"/>
      <w:r>
        <w:rPr>
          <w:rFonts w:ascii="Arial Narrow" w:eastAsia="Arial Narrow" w:hAnsi="Arial Narrow" w:cs="Arial Narrow"/>
          <w:b/>
          <w:color w:val="000000"/>
          <w:sz w:val="22"/>
          <w:szCs w:val="22"/>
          <w:highlight w:val="white"/>
        </w:rPr>
        <w:t>Parásitos</w:t>
      </w:r>
    </w:p>
    <w:p w:rsidR="009F0B88" w:rsidRDefault="00B90476">
      <w:pPr>
        <w:spacing w:before="240" w:after="240" w:line="259" w:lineRule="auto"/>
        <w:jc w:val="both"/>
        <w:rPr>
          <w:rFonts w:ascii="Arial Narrow" w:eastAsia="Arial Narrow" w:hAnsi="Arial Narrow" w:cs="Arial Narrow"/>
          <w:sz w:val="22"/>
          <w:szCs w:val="22"/>
          <w:highlight w:val="white"/>
        </w:rPr>
      </w:pPr>
      <w:r>
        <w:rPr>
          <w:rFonts w:ascii="Arial Narrow" w:eastAsia="Arial Narrow" w:hAnsi="Arial Narrow" w:cs="Arial Narrow"/>
          <w:sz w:val="22"/>
          <w:szCs w:val="22"/>
          <w:highlight w:val="white"/>
        </w:rPr>
        <w:lastRenderedPageBreak/>
        <w:t>Existen parásitos que se transmiten únicamente por los alimentos, mientras que otros pueden infectar a los humanos tanto por alimentos como por contacto con animales. Algunos ejemplos incluyen:</w:t>
      </w:r>
    </w:p>
    <w:p w:rsidR="009F0B88" w:rsidRDefault="00B90476">
      <w:pPr>
        <w:numPr>
          <w:ilvl w:val="0"/>
          <w:numId w:val="7"/>
        </w:numPr>
        <w:spacing w:before="240" w:line="259" w:lineRule="auto"/>
        <w:rPr>
          <w:rFonts w:ascii="Arial Narrow" w:eastAsia="Arial Narrow" w:hAnsi="Arial Narrow" w:cs="Arial Narrow"/>
          <w:sz w:val="22"/>
          <w:szCs w:val="22"/>
          <w:highlight w:val="white"/>
        </w:rPr>
      </w:pPr>
      <w:r>
        <w:rPr>
          <w:rFonts w:ascii="Arial Narrow" w:eastAsia="Arial Narrow" w:hAnsi="Arial Narrow" w:cs="Arial Narrow"/>
          <w:b/>
          <w:sz w:val="22"/>
          <w:szCs w:val="22"/>
          <w:highlight w:val="white"/>
        </w:rPr>
        <w:t>Trematodos</w:t>
      </w:r>
      <w:r>
        <w:rPr>
          <w:rFonts w:ascii="Arial Narrow" w:eastAsia="Arial Narrow" w:hAnsi="Arial Narrow" w:cs="Arial Narrow"/>
          <w:sz w:val="22"/>
          <w:szCs w:val="22"/>
          <w:highlight w:val="white"/>
        </w:rPr>
        <w:t xml:space="preserve"> presentes en el pescado.</w:t>
      </w:r>
    </w:p>
    <w:p w:rsidR="009F0B88" w:rsidRDefault="00B90476">
      <w:pPr>
        <w:numPr>
          <w:ilvl w:val="0"/>
          <w:numId w:val="7"/>
        </w:numPr>
        <w:spacing w:line="259" w:lineRule="auto"/>
        <w:rPr>
          <w:rFonts w:ascii="Arial Narrow" w:eastAsia="Arial Narrow" w:hAnsi="Arial Narrow" w:cs="Arial Narrow"/>
          <w:sz w:val="22"/>
          <w:szCs w:val="22"/>
          <w:highlight w:val="white"/>
        </w:rPr>
      </w:pPr>
      <w:r>
        <w:rPr>
          <w:rFonts w:ascii="Arial Narrow" w:eastAsia="Arial Narrow" w:hAnsi="Arial Narrow" w:cs="Arial Narrow"/>
          <w:b/>
          <w:sz w:val="22"/>
          <w:szCs w:val="22"/>
          <w:highlight w:val="white"/>
        </w:rPr>
        <w:t>Cestodos (</w:t>
      </w:r>
      <w:proofErr w:type="spellStart"/>
      <w:r>
        <w:rPr>
          <w:rFonts w:ascii="Arial Narrow" w:eastAsia="Arial Narrow" w:hAnsi="Arial Narrow" w:cs="Arial Narrow"/>
          <w:b/>
          <w:sz w:val="22"/>
          <w:szCs w:val="22"/>
          <w:highlight w:val="white"/>
        </w:rPr>
        <w:t>Echinococcus</w:t>
      </w:r>
      <w:proofErr w:type="spellEnd"/>
      <w:r>
        <w:rPr>
          <w:rFonts w:ascii="Arial Narrow" w:eastAsia="Arial Narrow" w:hAnsi="Arial Narrow" w:cs="Arial Narrow"/>
          <w:b/>
          <w:sz w:val="22"/>
          <w:szCs w:val="22"/>
          <w:highlight w:val="white"/>
        </w:rPr>
        <w:t xml:space="preserve"> </w:t>
      </w:r>
      <w:proofErr w:type="spellStart"/>
      <w:r>
        <w:rPr>
          <w:rFonts w:ascii="Arial Narrow" w:eastAsia="Arial Narrow" w:hAnsi="Arial Narrow" w:cs="Arial Narrow"/>
          <w:b/>
          <w:sz w:val="22"/>
          <w:szCs w:val="22"/>
          <w:highlight w:val="white"/>
        </w:rPr>
        <w:t>spp</w:t>
      </w:r>
      <w:proofErr w:type="spellEnd"/>
      <w:r>
        <w:rPr>
          <w:rFonts w:ascii="Arial Narrow" w:eastAsia="Arial Narrow" w:hAnsi="Arial Narrow" w:cs="Arial Narrow"/>
          <w:b/>
          <w:sz w:val="22"/>
          <w:szCs w:val="22"/>
          <w:highlight w:val="white"/>
        </w:rPr>
        <w:t xml:space="preserve"> y </w:t>
      </w:r>
      <w:proofErr w:type="spellStart"/>
      <w:r>
        <w:rPr>
          <w:rFonts w:ascii="Arial Narrow" w:eastAsia="Arial Narrow" w:hAnsi="Arial Narrow" w:cs="Arial Narrow"/>
          <w:b/>
          <w:sz w:val="22"/>
          <w:szCs w:val="22"/>
          <w:highlight w:val="white"/>
        </w:rPr>
        <w:t>Taenia</w:t>
      </w:r>
      <w:proofErr w:type="spellEnd"/>
      <w:r>
        <w:rPr>
          <w:rFonts w:ascii="Arial Narrow" w:eastAsia="Arial Narrow" w:hAnsi="Arial Narrow" w:cs="Arial Narrow"/>
          <w:b/>
          <w:sz w:val="22"/>
          <w:szCs w:val="22"/>
          <w:highlight w:val="white"/>
        </w:rPr>
        <w:t xml:space="preserve"> </w:t>
      </w:r>
      <w:proofErr w:type="spellStart"/>
      <w:r>
        <w:rPr>
          <w:rFonts w:ascii="Arial Narrow" w:eastAsia="Arial Narrow" w:hAnsi="Arial Narrow" w:cs="Arial Narrow"/>
          <w:b/>
          <w:sz w:val="22"/>
          <w:szCs w:val="22"/>
          <w:highlight w:val="white"/>
        </w:rPr>
        <w:t>solium</w:t>
      </w:r>
      <w:proofErr w:type="spellEnd"/>
      <w:r>
        <w:rPr>
          <w:rFonts w:ascii="Arial Narrow" w:eastAsia="Arial Narrow" w:hAnsi="Arial Narrow" w:cs="Arial Narrow"/>
          <w:b/>
          <w:sz w:val="22"/>
          <w:szCs w:val="22"/>
          <w:highlight w:val="white"/>
        </w:rPr>
        <w:t>)</w:t>
      </w:r>
      <w:r>
        <w:rPr>
          <w:rFonts w:ascii="Arial Narrow" w:eastAsia="Arial Narrow" w:hAnsi="Arial Narrow" w:cs="Arial Narrow"/>
          <w:sz w:val="22"/>
          <w:szCs w:val="22"/>
          <w:highlight w:val="white"/>
        </w:rPr>
        <w:t>, que pueden adquirirse por alimentos contaminados o contacto con animales.</w:t>
      </w:r>
    </w:p>
    <w:p w:rsidR="009F0B88" w:rsidRDefault="00B90476">
      <w:pPr>
        <w:numPr>
          <w:ilvl w:val="0"/>
          <w:numId w:val="7"/>
        </w:numPr>
        <w:spacing w:after="240" w:line="259" w:lineRule="auto"/>
        <w:rPr>
          <w:rFonts w:ascii="Arial Narrow" w:eastAsia="Arial Narrow" w:hAnsi="Arial Narrow" w:cs="Arial Narrow"/>
          <w:sz w:val="22"/>
          <w:szCs w:val="22"/>
          <w:highlight w:val="white"/>
        </w:rPr>
      </w:pPr>
      <w:proofErr w:type="spellStart"/>
      <w:r>
        <w:rPr>
          <w:rFonts w:ascii="Arial Narrow" w:eastAsia="Arial Narrow" w:hAnsi="Arial Narrow" w:cs="Arial Narrow"/>
          <w:b/>
          <w:sz w:val="22"/>
          <w:szCs w:val="22"/>
          <w:highlight w:val="white"/>
        </w:rPr>
        <w:t>Ascaris</w:t>
      </w:r>
      <w:proofErr w:type="spellEnd"/>
      <w:r>
        <w:rPr>
          <w:rFonts w:ascii="Arial Narrow" w:eastAsia="Arial Narrow" w:hAnsi="Arial Narrow" w:cs="Arial Narrow"/>
          <w:b/>
          <w:sz w:val="22"/>
          <w:szCs w:val="22"/>
          <w:highlight w:val="white"/>
        </w:rPr>
        <w:t xml:space="preserve">, </w:t>
      </w:r>
      <w:proofErr w:type="spellStart"/>
      <w:r>
        <w:rPr>
          <w:rFonts w:ascii="Arial Narrow" w:eastAsia="Arial Narrow" w:hAnsi="Arial Narrow" w:cs="Arial Narrow"/>
          <w:b/>
          <w:sz w:val="22"/>
          <w:szCs w:val="22"/>
          <w:highlight w:val="white"/>
        </w:rPr>
        <w:t>Cryptosporidium</w:t>
      </w:r>
      <w:proofErr w:type="spellEnd"/>
      <w:r>
        <w:rPr>
          <w:rFonts w:ascii="Arial Narrow" w:eastAsia="Arial Narrow" w:hAnsi="Arial Narrow" w:cs="Arial Narrow"/>
          <w:b/>
          <w:sz w:val="22"/>
          <w:szCs w:val="22"/>
          <w:highlight w:val="white"/>
        </w:rPr>
        <w:t xml:space="preserve">, </w:t>
      </w:r>
      <w:proofErr w:type="spellStart"/>
      <w:r>
        <w:rPr>
          <w:rFonts w:ascii="Arial Narrow" w:eastAsia="Arial Narrow" w:hAnsi="Arial Narrow" w:cs="Arial Narrow"/>
          <w:b/>
          <w:sz w:val="22"/>
          <w:szCs w:val="22"/>
          <w:highlight w:val="white"/>
        </w:rPr>
        <w:t>Entamoeba</w:t>
      </w:r>
      <w:proofErr w:type="spellEnd"/>
      <w:r>
        <w:rPr>
          <w:rFonts w:ascii="Arial Narrow" w:eastAsia="Arial Narrow" w:hAnsi="Arial Narrow" w:cs="Arial Narrow"/>
          <w:b/>
          <w:sz w:val="22"/>
          <w:szCs w:val="22"/>
          <w:highlight w:val="white"/>
        </w:rPr>
        <w:t xml:space="preserve"> </w:t>
      </w:r>
      <w:proofErr w:type="spellStart"/>
      <w:r>
        <w:rPr>
          <w:rFonts w:ascii="Arial Narrow" w:eastAsia="Arial Narrow" w:hAnsi="Arial Narrow" w:cs="Arial Narrow"/>
          <w:b/>
          <w:sz w:val="22"/>
          <w:szCs w:val="22"/>
          <w:highlight w:val="white"/>
        </w:rPr>
        <w:t>histolytica</w:t>
      </w:r>
      <w:proofErr w:type="spellEnd"/>
      <w:r>
        <w:rPr>
          <w:rFonts w:ascii="Arial Narrow" w:eastAsia="Arial Narrow" w:hAnsi="Arial Narrow" w:cs="Arial Narrow"/>
          <w:b/>
          <w:sz w:val="22"/>
          <w:szCs w:val="22"/>
          <w:highlight w:val="white"/>
        </w:rPr>
        <w:t xml:space="preserve"> y </w:t>
      </w:r>
      <w:proofErr w:type="spellStart"/>
      <w:r>
        <w:rPr>
          <w:rFonts w:ascii="Arial Narrow" w:eastAsia="Arial Narrow" w:hAnsi="Arial Narrow" w:cs="Arial Narrow"/>
          <w:b/>
          <w:sz w:val="22"/>
          <w:szCs w:val="22"/>
          <w:highlight w:val="white"/>
        </w:rPr>
        <w:t>Giardia</w:t>
      </w:r>
      <w:proofErr w:type="spellEnd"/>
      <w:r>
        <w:rPr>
          <w:rFonts w:ascii="Arial Narrow" w:eastAsia="Arial Narrow" w:hAnsi="Arial Narrow" w:cs="Arial Narrow"/>
          <w:sz w:val="22"/>
          <w:szCs w:val="22"/>
          <w:highlight w:val="white"/>
        </w:rPr>
        <w:t>, que ingresan en la cadena alimentaria a través del agua o el suelo y contaminan productos frescos.</w:t>
      </w:r>
    </w:p>
    <w:p w:rsidR="009F0B88" w:rsidRDefault="00B90476">
      <w:pPr>
        <w:spacing w:before="240" w:after="240" w:line="259" w:lineRule="auto"/>
        <w:rPr>
          <w:rFonts w:ascii="Arial Narrow" w:eastAsia="Arial Narrow" w:hAnsi="Arial Narrow" w:cs="Arial Narrow"/>
          <w:b/>
          <w:color w:val="000000"/>
          <w:sz w:val="22"/>
          <w:szCs w:val="22"/>
          <w:highlight w:val="white"/>
        </w:rPr>
      </w:pPr>
      <w:r>
        <w:rPr>
          <w:rFonts w:ascii="Arial Narrow" w:eastAsia="Arial Narrow" w:hAnsi="Arial Narrow" w:cs="Arial Narrow"/>
          <w:b/>
          <w:color w:val="000000"/>
          <w:sz w:val="22"/>
          <w:szCs w:val="22"/>
          <w:highlight w:val="white"/>
        </w:rPr>
        <w:t>Priones</w:t>
      </w:r>
    </w:p>
    <w:p w:rsidR="009F0B88" w:rsidRDefault="00B90476">
      <w:pPr>
        <w:spacing w:before="240" w:after="240" w:line="259" w:lineRule="auto"/>
        <w:jc w:val="both"/>
        <w:rPr>
          <w:rFonts w:ascii="Arial Narrow" w:eastAsia="Arial Narrow" w:hAnsi="Arial Narrow" w:cs="Arial Narrow"/>
          <w:b/>
          <w:sz w:val="22"/>
          <w:szCs w:val="22"/>
        </w:rPr>
      </w:pPr>
      <w:r>
        <w:rPr>
          <w:rFonts w:ascii="Arial Narrow" w:eastAsia="Arial Narrow" w:hAnsi="Arial Narrow" w:cs="Arial Narrow"/>
          <w:sz w:val="22"/>
          <w:szCs w:val="22"/>
          <w:highlight w:val="white"/>
        </w:rPr>
        <w:t xml:space="preserve">Los priones son proteínas infecciosas responsables de enfermedades neurodegenerativas. Un ejemplo es la </w:t>
      </w:r>
      <w:r>
        <w:rPr>
          <w:rFonts w:ascii="Arial Narrow" w:eastAsia="Arial Narrow" w:hAnsi="Arial Narrow" w:cs="Arial Narrow"/>
          <w:b/>
          <w:sz w:val="22"/>
          <w:szCs w:val="22"/>
          <w:highlight w:val="white"/>
        </w:rPr>
        <w:t>encefalopatía espongiforme bovina</w:t>
      </w:r>
      <w:r>
        <w:rPr>
          <w:rFonts w:ascii="Arial Narrow" w:eastAsia="Arial Narrow" w:hAnsi="Arial Narrow" w:cs="Arial Narrow"/>
          <w:sz w:val="22"/>
          <w:szCs w:val="22"/>
          <w:highlight w:val="white"/>
        </w:rPr>
        <w:t xml:space="preserve"> (</w:t>
      </w:r>
      <w:r>
        <w:rPr>
          <w:rFonts w:ascii="Arial Narrow" w:eastAsia="Arial Narrow" w:hAnsi="Arial Narrow" w:cs="Arial Narrow"/>
          <w:i/>
          <w:sz w:val="22"/>
          <w:szCs w:val="22"/>
          <w:highlight w:val="white"/>
        </w:rPr>
        <w:t>enfermedad de las vacas locas</w:t>
      </w:r>
      <w:r>
        <w:rPr>
          <w:rFonts w:ascii="Arial Narrow" w:eastAsia="Arial Narrow" w:hAnsi="Arial Narrow" w:cs="Arial Narrow"/>
          <w:sz w:val="22"/>
          <w:szCs w:val="22"/>
          <w:highlight w:val="white"/>
        </w:rPr>
        <w:t xml:space="preserve">), la cual se ha vinculado con la variante de la enfermedad de </w:t>
      </w:r>
      <w:proofErr w:type="spellStart"/>
      <w:r>
        <w:rPr>
          <w:rFonts w:ascii="Arial Narrow" w:eastAsia="Arial Narrow" w:hAnsi="Arial Narrow" w:cs="Arial Narrow"/>
          <w:sz w:val="22"/>
          <w:szCs w:val="22"/>
          <w:highlight w:val="white"/>
        </w:rPr>
        <w:t>Creutzfeldt</w:t>
      </w:r>
      <w:proofErr w:type="spellEnd"/>
      <w:r>
        <w:rPr>
          <w:rFonts w:ascii="Arial Narrow" w:eastAsia="Arial Narrow" w:hAnsi="Arial Narrow" w:cs="Arial Narrow"/>
          <w:sz w:val="22"/>
          <w:szCs w:val="22"/>
          <w:highlight w:val="white"/>
        </w:rPr>
        <w:t>-Jakob en humanos. Se transmite principalmente por el consumo de productos cárnicos que contienen materiales de riesgo, como los sesos.</w:t>
      </w:r>
      <w:r>
        <w:rPr>
          <w:rFonts w:ascii="Arial Narrow" w:eastAsia="Arial Narrow" w:hAnsi="Arial Narrow" w:cs="Arial Narrow"/>
          <w:sz w:val="22"/>
          <w:szCs w:val="22"/>
          <w:highlight w:val="white"/>
          <w:vertAlign w:val="superscript"/>
        </w:rPr>
        <w:footnoteReference w:id="2"/>
      </w:r>
    </w:p>
    <w:p w:rsidR="009F0B88" w:rsidRDefault="00B90476">
      <w:pPr>
        <w:keepNext/>
        <w:keepLines/>
        <w:pBdr>
          <w:top w:val="nil"/>
          <w:left w:val="nil"/>
          <w:bottom w:val="nil"/>
          <w:right w:val="nil"/>
          <w:between w:val="nil"/>
        </w:pBdr>
        <w:tabs>
          <w:tab w:val="left" w:pos="284"/>
        </w:tabs>
        <w:spacing w:line="276" w:lineRule="auto"/>
        <w:jc w:val="both"/>
        <w:rPr>
          <w:rFonts w:ascii="Arial Narrow" w:eastAsia="Arial Narrow" w:hAnsi="Arial Narrow" w:cs="Arial Narrow"/>
          <w:b/>
          <w:color w:val="000000"/>
          <w:sz w:val="22"/>
          <w:szCs w:val="22"/>
        </w:rPr>
      </w:pPr>
      <w:r>
        <w:rPr>
          <w:rFonts w:ascii="Arial Narrow" w:eastAsia="Arial Narrow" w:hAnsi="Arial Narrow" w:cs="Arial Narrow"/>
          <w:b/>
          <w:sz w:val="22"/>
          <w:szCs w:val="22"/>
        </w:rPr>
        <w:t>6. COMENTARIOS DE LA ADMINISTRACIÓN</w:t>
      </w:r>
    </w:p>
    <w:p w:rsidR="009F0B88" w:rsidRDefault="009F0B88">
      <w:pPr>
        <w:pBdr>
          <w:top w:val="nil"/>
          <w:left w:val="nil"/>
          <w:bottom w:val="nil"/>
          <w:right w:val="nil"/>
          <w:between w:val="nil"/>
        </w:pBdr>
        <w:spacing w:line="276" w:lineRule="auto"/>
        <w:jc w:val="both"/>
        <w:rPr>
          <w:rFonts w:ascii="Arial Narrow" w:eastAsia="Arial Narrow" w:hAnsi="Arial Narrow" w:cs="Arial Narrow"/>
          <w:sz w:val="22"/>
          <w:szCs w:val="22"/>
        </w:rPr>
      </w:pPr>
    </w:p>
    <w:p w:rsidR="009F0B88" w:rsidRDefault="00B90476">
      <w:pPr>
        <w:pBdr>
          <w:top w:val="nil"/>
          <w:left w:val="nil"/>
          <w:bottom w:val="nil"/>
          <w:right w:val="nil"/>
          <w:between w:val="nil"/>
        </w:pBdr>
        <w:spacing w:line="276" w:lineRule="auto"/>
        <w:jc w:val="both"/>
        <w:rPr>
          <w:rFonts w:ascii="Arial Narrow" w:eastAsia="Arial Narrow" w:hAnsi="Arial Narrow" w:cs="Arial Narrow"/>
          <w:sz w:val="22"/>
          <w:szCs w:val="22"/>
        </w:rPr>
      </w:pPr>
      <w:r>
        <w:rPr>
          <w:rFonts w:ascii="Arial Narrow" w:eastAsia="Arial Narrow" w:hAnsi="Arial Narrow" w:cs="Arial Narrow"/>
          <w:sz w:val="22"/>
          <w:szCs w:val="22"/>
        </w:rPr>
        <w:t>A la fecha de radicación de la presente ponencia, no se recibieron comentarios por parte de la Administración Distrital, en referencia a esta iniciativa.</w:t>
      </w:r>
    </w:p>
    <w:p w:rsidR="009F0B88" w:rsidRDefault="009F0B88">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Narrow" w:eastAsia="Arial Narrow" w:hAnsi="Arial Narrow" w:cs="Arial Narrow"/>
          <w:sz w:val="22"/>
          <w:szCs w:val="22"/>
        </w:rPr>
      </w:pPr>
    </w:p>
    <w:p w:rsidR="009F0B88" w:rsidRDefault="00B90476">
      <w:pPr>
        <w:keepNext/>
        <w:keepLines/>
        <w:pBdr>
          <w:top w:val="nil"/>
          <w:left w:val="nil"/>
          <w:bottom w:val="nil"/>
          <w:right w:val="nil"/>
          <w:between w:val="nil"/>
        </w:pBdr>
        <w:tabs>
          <w:tab w:val="left" w:pos="284"/>
        </w:tabs>
        <w:spacing w:line="276" w:lineRule="auto"/>
        <w:jc w:val="both"/>
        <w:rPr>
          <w:rFonts w:ascii="Arial Narrow" w:eastAsia="Arial Narrow" w:hAnsi="Arial Narrow" w:cs="Arial Narrow"/>
          <w:b/>
          <w:color w:val="000000"/>
          <w:sz w:val="22"/>
          <w:szCs w:val="22"/>
        </w:rPr>
      </w:pPr>
      <w:r>
        <w:rPr>
          <w:rFonts w:ascii="Arial Narrow" w:eastAsia="Arial Narrow" w:hAnsi="Arial Narrow" w:cs="Arial Narrow"/>
          <w:b/>
          <w:sz w:val="22"/>
          <w:szCs w:val="22"/>
        </w:rPr>
        <w:t>7. PLIEGO MODIFICATORIO</w:t>
      </w:r>
    </w:p>
    <w:p w:rsidR="009F0B88" w:rsidRDefault="009F0B88">
      <w:pPr>
        <w:keepNext/>
        <w:keepLines/>
        <w:pBdr>
          <w:top w:val="nil"/>
          <w:left w:val="nil"/>
          <w:bottom w:val="nil"/>
          <w:right w:val="nil"/>
          <w:between w:val="nil"/>
        </w:pBdr>
        <w:tabs>
          <w:tab w:val="left" w:pos="284"/>
        </w:tabs>
        <w:spacing w:line="276" w:lineRule="auto"/>
        <w:jc w:val="both"/>
        <w:rPr>
          <w:rFonts w:ascii="Arial Narrow" w:eastAsia="Arial Narrow" w:hAnsi="Arial Narrow" w:cs="Arial Narrow"/>
          <w:b/>
          <w:sz w:val="22"/>
          <w:szCs w:val="22"/>
        </w:rPr>
      </w:pPr>
    </w:p>
    <w:tbl>
      <w:tblPr>
        <w:tblStyle w:val="af2"/>
        <w:tblW w:w="940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35"/>
        <w:gridCol w:w="3060"/>
        <w:gridCol w:w="3210"/>
      </w:tblGrid>
      <w:tr w:rsidR="009F0B88">
        <w:tc>
          <w:tcPr>
            <w:tcW w:w="3135" w:type="dxa"/>
            <w:shd w:val="clear" w:color="auto" w:fill="C9DAF8"/>
            <w:tcMar>
              <w:top w:w="100" w:type="dxa"/>
              <w:left w:w="100" w:type="dxa"/>
              <w:bottom w:w="100" w:type="dxa"/>
              <w:right w:w="100" w:type="dxa"/>
            </w:tcMar>
          </w:tcPr>
          <w:p w:rsidR="009F0B88" w:rsidRDefault="00B90476">
            <w:pPr>
              <w:widowControl w:val="0"/>
              <w:pBdr>
                <w:top w:val="nil"/>
                <w:left w:val="nil"/>
                <w:bottom w:val="nil"/>
                <w:right w:val="nil"/>
                <w:between w:val="nil"/>
              </w:pBdr>
              <w:jc w:val="center"/>
              <w:rPr>
                <w:rFonts w:ascii="Arial Narrow" w:eastAsia="Arial Narrow" w:hAnsi="Arial Narrow" w:cs="Arial Narrow"/>
                <w:b/>
                <w:sz w:val="22"/>
                <w:szCs w:val="22"/>
              </w:rPr>
            </w:pPr>
            <w:r>
              <w:rPr>
                <w:rFonts w:ascii="Arial Narrow" w:eastAsia="Arial Narrow" w:hAnsi="Arial Narrow" w:cs="Arial Narrow"/>
                <w:b/>
                <w:sz w:val="22"/>
                <w:szCs w:val="22"/>
              </w:rPr>
              <w:t xml:space="preserve">TEXTO ORIGINAL </w:t>
            </w:r>
          </w:p>
          <w:p w:rsidR="009F0B88" w:rsidRDefault="00B90476">
            <w:pPr>
              <w:widowControl w:val="0"/>
              <w:pBdr>
                <w:top w:val="nil"/>
                <w:left w:val="nil"/>
                <w:bottom w:val="nil"/>
                <w:right w:val="nil"/>
                <w:between w:val="nil"/>
              </w:pBdr>
              <w:jc w:val="center"/>
              <w:rPr>
                <w:rFonts w:ascii="Arial Narrow" w:eastAsia="Arial Narrow" w:hAnsi="Arial Narrow" w:cs="Arial Narrow"/>
                <w:b/>
                <w:sz w:val="22"/>
                <w:szCs w:val="22"/>
              </w:rPr>
            </w:pPr>
            <w:r>
              <w:rPr>
                <w:rFonts w:ascii="Arial Narrow" w:eastAsia="Arial Narrow" w:hAnsi="Arial Narrow" w:cs="Arial Narrow"/>
                <w:b/>
                <w:sz w:val="22"/>
                <w:szCs w:val="22"/>
              </w:rPr>
              <w:t>PROYECTO DE ACUERDO No. 240 de 2025</w:t>
            </w:r>
          </w:p>
        </w:tc>
        <w:tc>
          <w:tcPr>
            <w:tcW w:w="3060" w:type="dxa"/>
            <w:shd w:val="clear" w:color="auto" w:fill="C9DAF8"/>
            <w:tcMar>
              <w:top w:w="100" w:type="dxa"/>
              <w:left w:w="100" w:type="dxa"/>
              <w:bottom w:w="100" w:type="dxa"/>
              <w:right w:w="100" w:type="dxa"/>
            </w:tcMar>
          </w:tcPr>
          <w:p w:rsidR="009F0B88" w:rsidRDefault="00B90476">
            <w:pPr>
              <w:widowControl w:val="0"/>
              <w:pBdr>
                <w:top w:val="nil"/>
                <w:left w:val="nil"/>
                <w:bottom w:val="nil"/>
                <w:right w:val="nil"/>
                <w:between w:val="nil"/>
              </w:pBdr>
              <w:jc w:val="center"/>
              <w:rPr>
                <w:rFonts w:ascii="Arial Narrow" w:eastAsia="Arial Narrow" w:hAnsi="Arial Narrow" w:cs="Arial Narrow"/>
                <w:b/>
                <w:sz w:val="22"/>
                <w:szCs w:val="22"/>
              </w:rPr>
            </w:pPr>
            <w:r>
              <w:rPr>
                <w:rFonts w:ascii="Arial Narrow" w:eastAsia="Arial Narrow" w:hAnsi="Arial Narrow" w:cs="Arial Narrow"/>
                <w:b/>
                <w:sz w:val="22"/>
                <w:szCs w:val="22"/>
              </w:rPr>
              <w:t>MODIFICACIÓN DEL PONENTE PROYECTO DE ACUERDO No. 240 DE 2025</w:t>
            </w:r>
          </w:p>
        </w:tc>
        <w:tc>
          <w:tcPr>
            <w:tcW w:w="3210" w:type="dxa"/>
            <w:shd w:val="clear" w:color="auto" w:fill="C9DAF8"/>
            <w:tcMar>
              <w:top w:w="100" w:type="dxa"/>
              <w:left w:w="100" w:type="dxa"/>
              <w:bottom w:w="100" w:type="dxa"/>
              <w:right w:w="100" w:type="dxa"/>
            </w:tcMar>
          </w:tcPr>
          <w:p w:rsidR="009F0B88" w:rsidRDefault="00B90476">
            <w:pPr>
              <w:widowControl w:val="0"/>
              <w:pBdr>
                <w:top w:val="nil"/>
                <w:left w:val="nil"/>
                <w:bottom w:val="nil"/>
                <w:right w:val="nil"/>
                <w:between w:val="nil"/>
              </w:pBdr>
              <w:jc w:val="center"/>
              <w:rPr>
                <w:rFonts w:ascii="Arial Narrow" w:eastAsia="Arial Narrow" w:hAnsi="Arial Narrow" w:cs="Arial Narrow"/>
                <w:b/>
                <w:sz w:val="22"/>
                <w:szCs w:val="22"/>
              </w:rPr>
            </w:pPr>
            <w:r>
              <w:rPr>
                <w:rFonts w:ascii="Arial Narrow" w:eastAsia="Arial Narrow" w:hAnsi="Arial Narrow" w:cs="Arial Narrow"/>
                <w:b/>
                <w:sz w:val="22"/>
                <w:szCs w:val="22"/>
              </w:rPr>
              <w:t xml:space="preserve">JUSTIFICACIÓN </w:t>
            </w:r>
          </w:p>
        </w:tc>
      </w:tr>
      <w:tr w:rsidR="009F0B88">
        <w:tc>
          <w:tcPr>
            <w:tcW w:w="3135" w:type="dxa"/>
            <w:shd w:val="clear" w:color="auto" w:fill="auto"/>
            <w:tcMar>
              <w:top w:w="100" w:type="dxa"/>
              <w:left w:w="100" w:type="dxa"/>
              <w:bottom w:w="100" w:type="dxa"/>
              <w:right w:w="100" w:type="dxa"/>
            </w:tcMar>
          </w:tcPr>
          <w:p w:rsidR="009F0B88" w:rsidRDefault="00B90476">
            <w:pPr>
              <w:jc w:val="center"/>
              <w:rPr>
                <w:rFonts w:ascii="Arial Narrow" w:eastAsia="Arial Narrow" w:hAnsi="Arial Narrow" w:cs="Arial Narrow"/>
                <w:b/>
                <w:sz w:val="22"/>
                <w:szCs w:val="22"/>
              </w:rPr>
            </w:pPr>
            <w:r>
              <w:rPr>
                <w:rFonts w:ascii="Arial Narrow" w:eastAsia="Arial Narrow" w:hAnsi="Arial Narrow" w:cs="Arial Narrow"/>
                <w:b/>
                <w:sz w:val="22"/>
                <w:szCs w:val="22"/>
              </w:rPr>
              <w:t>“POR MEDIO DEL CUAL SE ESTABLECEN MEDIDAS PARA FORTALECER</w:t>
            </w:r>
          </w:p>
          <w:p w:rsidR="009F0B88" w:rsidRDefault="00B90476">
            <w:pPr>
              <w:jc w:val="center"/>
              <w:rPr>
                <w:rFonts w:ascii="Arial Narrow" w:eastAsia="Arial Narrow" w:hAnsi="Arial Narrow" w:cs="Arial Narrow"/>
                <w:b/>
                <w:sz w:val="22"/>
                <w:szCs w:val="22"/>
              </w:rPr>
            </w:pPr>
            <w:r>
              <w:rPr>
                <w:rFonts w:ascii="Arial Narrow" w:eastAsia="Arial Narrow" w:hAnsi="Arial Narrow" w:cs="Arial Narrow"/>
                <w:b/>
                <w:sz w:val="22"/>
                <w:szCs w:val="22"/>
              </w:rPr>
              <w:t>LAS ACCIONES EN SALUD PÚBLICA EN ESTABLECIMIENTOS DE</w:t>
            </w:r>
          </w:p>
          <w:p w:rsidR="009F0B88" w:rsidRDefault="00B90476">
            <w:pPr>
              <w:jc w:val="center"/>
              <w:rPr>
                <w:rFonts w:ascii="Arial Narrow" w:eastAsia="Arial Narrow" w:hAnsi="Arial Narrow" w:cs="Arial Narrow"/>
                <w:b/>
                <w:sz w:val="22"/>
                <w:szCs w:val="22"/>
              </w:rPr>
            </w:pPr>
            <w:r>
              <w:rPr>
                <w:rFonts w:ascii="Arial Narrow" w:eastAsia="Arial Narrow" w:hAnsi="Arial Narrow" w:cs="Arial Narrow"/>
                <w:b/>
                <w:sz w:val="22"/>
                <w:szCs w:val="22"/>
              </w:rPr>
              <w:t>PREPARACIÓN Y CONSUMO DE ALIMENTOS EN EL DISTRITO CAPITAL”</w:t>
            </w:r>
            <w:r>
              <w:rPr>
                <w:rFonts w:ascii="Arial Narrow" w:eastAsia="Arial Narrow" w:hAnsi="Arial Narrow" w:cs="Arial Narrow"/>
                <w:b/>
                <w:sz w:val="22"/>
                <w:szCs w:val="22"/>
              </w:rPr>
              <w:br/>
            </w:r>
          </w:p>
          <w:p w:rsidR="009F0B88" w:rsidRDefault="00B90476">
            <w:pPr>
              <w:jc w:val="center"/>
              <w:rPr>
                <w:rFonts w:ascii="Arial Narrow" w:eastAsia="Arial Narrow" w:hAnsi="Arial Narrow" w:cs="Arial Narrow"/>
                <w:b/>
                <w:sz w:val="22"/>
                <w:szCs w:val="22"/>
              </w:rPr>
            </w:pPr>
            <w:r>
              <w:rPr>
                <w:rFonts w:ascii="Arial Narrow" w:eastAsia="Arial Narrow" w:hAnsi="Arial Narrow" w:cs="Arial Narrow"/>
                <w:b/>
                <w:sz w:val="22"/>
                <w:szCs w:val="22"/>
              </w:rPr>
              <w:t>EL CONCEJO DE BOGOTÁ D. C.</w:t>
            </w:r>
          </w:p>
        </w:tc>
        <w:tc>
          <w:tcPr>
            <w:tcW w:w="3060" w:type="dxa"/>
            <w:shd w:val="clear" w:color="auto" w:fill="auto"/>
            <w:tcMar>
              <w:top w:w="100" w:type="dxa"/>
              <w:left w:w="100" w:type="dxa"/>
              <w:bottom w:w="100" w:type="dxa"/>
              <w:right w:w="100" w:type="dxa"/>
            </w:tcMar>
          </w:tcPr>
          <w:p w:rsidR="009F0B88" w:rsidRDefault="00B90476">
            <w:pPr>
              <w:jc w:val="center"/>
              <w:rPr>
                <w:rFonts w:ascii="Arial Narrow" w:eastAsia="Arial Narrow" w:hAnsi="Arial Narrow" w:cs="Arial Narrow"/>
                <w:b/>
                <w:sz w:val="22"/>
                <w:szCs w:val="22"/>
              </w:rPr>
            </w:pPr>
            <w:r>
              <w:rPr>
                <w:rFonts w:ascii="Arial Narrow" w:eastAsia="Arial Narrow" w:hAnsi="Arial Narrow" w:cs="Arial Narrow"/>
                <w:b/>
                <w:sz w:val="22"/>
                <w:szCs w:val="22"/>
              </w:rPr>
              <w:t xml:space="preserve">“POR MEDIO DEL CUAL SE ESTABLECEN LINEAMIENTOS </w:t>
            </w:r>
            <w:r>
              <w:rPr>
                <w:rFonts w:ascii="Arial Narrow" w:eastAsia="Arial Narrow" w:hAnsi="Arial Narrow" w:cs="Arial Narrow"/>
                <w:b/>
                <w:strike/>
                <w:color w:val="FF0000"/>
                <w:sz w:val="22"/>
                <w:szCs w:val="22"/>
              </w:rPr>
              <w:t>MEDIDAS</w:t>
            </w:r>
            <w:r>
              <w:rPr>
                <w:rFonts w:ascii="Arial Narrow" w:eastAsia="Arial Narrow" w:hAnsi="Arial Narrow" w:cs="Arial Narrow"/>
                <w:b/>
                <w:sz w:val="22"/>
                <w:szCs w:val="22"/>
              </w:rPr>
              <w:t xml:space="preserve"> PARA FORTALECER</w:t>
            </w:r>
          </w:p>
          <w:p w:rsidR="009F0B88" w:rsidRDefault="00B90476">
            <w:pPr>
              <w:jc w:val="center"/>
              <w:rPr>
                <w:rFonts w:ascii="Arial Narrow" w:eastAsia="Arial Narrow" w:hAnsi="Arial Narrow" w:cs="Arial Narrow"/>
                <w:b/>
                <w:sz w:val="22"/>
                <w:szCs w:val="22"/>
              </w:rPr>
            </w:pPr>
            <w:r>
              <w:rPr>
                <w:rFonts w:ascii="Arial Narrow" w:eastAsia="Arial Narrow" w:hAnsi="Arial Narrow" w:cs="Arial Narrow"/>
                <w:b/>
                <w:sz w:val="22"/>
                <w:szCs w:val="22"/>
              </w:rPr>
              <w:t>LAS ACCIONES EN SALUD PÚBLICA EN ESTABLECIMIENTOS DE</w:t>
            </w:r>
          </w:p>
          <w:p w:rsidR="009F0B88" w:rsidRDefault="00B90476">
            <w:pPr>
              <w:jc w:val="center"/>
              <w:rPr>
                <w:rFonts w:ascii="Arial Narrow" w:eastAsia="Arial Narrow" w:hAnsi="Arial Narrow" w:cs="Arial Narrow"/>
                <w:b/>
                <w:sz w:val="22"/>
                <w:szCs w:val="22"/>
              </w:rPr>
            </w:pPr>
            <w:r>
              <w:rPr>
                <w:rFonts w:ascii="Arial Narrow" w:eastAsia="Arial Narrow" w:hAnsi="Arial Narrow" w:cs="Arial Narrow"/>
                <w:b/>
                <w:sz w:val="22"/>
                <w:szCs w:val="22"/>
              </w:rPr>
              <w:t>PREPARACIÓN Y CONSUMO DE ALIMENTOS EN EL DISTRITO CAPITAL”</w:t>
            </w:r>
            <w:r>
              <w:rPr>
                <w:rFonts w:ascii="Arial Narrow" w:eastAsia="Arial Narrow" w:hAnsi="Arial Narrow" w:cs="Arial Narrow"/>
                <w:b/>
                <w:sz w:val="22"/>
                <w:szCs w:val="22"/>
              </w:rPr>
              <w:br/>
            </w:r>
            <w:r>
              <w:rPr>
                <w:rFonts w:ascii="Arial Narrow" w:eastAsia="Arial Narrow" w:hAnsi="Arial Narrow" w:cs="Arial Narrow"/>
                <w:b/>
                <w:sz w:val="22"/>
                <w:szCs w:val="22"/>
              </w:rPr>
              <w:br/>
              <w:t>EL CONCEJO DE BOGOTÁ D. C.</w:t>
            </w:r>
          </w:p>
        </w:tc>
        <w:tc>
          <w:tcPr>
            <w:tcW w:w="3210" w:type="dxa"/>
            <w:shd w:val="clear" w:color="auto" w:fill="auto"/>
            <w:tcMar>
              <w:top w:w="100" w:type="dxa"/>
              <w:left w:w="100" w:type="dxa"/>
              <w:bottom w:w="100" w:type="dxa"/>
              <w:right w:w="100" w:type="dxa"/>
            </w:tcMar>
          </w:tcPr>
          <w:p w:rsidR="009F0B88" w:rsidRDefault="009F0B88">
            <w:pPr>
              <w:spacing w:line="360" w:lineRule="auto"/>
              <w:jc w:val="center"/>
              <w:rPr>
                <w:sz w:val="22"/>
                <w:szCs w:val="22"/>
              </w:rPr>
            </w:pPr>
          </w:p>
          <w:p w:rsidR="009F0B88" w:rsidRDefault="009F0B88">
            <w:pPr>
              <w:rPr>
                <w:sz w:val="22"/>
                <w:szCs w:val="22"/>
              </w:rPr>
            </w:pPr>
          </w:p>
          <w:p w:rsidR="009F0B88" w:rsidRDefault="00B90476">
            <w:pPr>
              <w:rPr>
                <w:sz w:val="22"/>
                <w:szCs w:val="22"/>
              </w:rPr>
            </w:pPr>
            <w:r>
              <w:rPr>
                <w:rFonts w:ascii="Arial Narrow" w:eastAsia="Arial Narrow" w:hAnsi="Arial Narrow" w:cs="Arial Narrow"/>
                <w:i/>
                <w:sz w:val="22"/>
                <w:szCs w:val="22"/>
                <w:highlight w:val="white"/>
              </w:rPr>
              <w:t>Se cambia la palabra “medidas” por “lineamientos” por cuanto va en coherencia con las funciones del Concejo.</w:t>
            </w:r>
          </w:p>
        </w:tc>
      </w:tr>
      <w:tr w:rsidR="009F0B88">
        <w:tc>
          <w:tcPr>
            <w:tcW w:w="3135" w:type="dxa"/>
            <w:shd w:val="clear" w:color="auto" w:fill="auto"/>
            <w:tcMar>
              <w:top w:w="100" w:type="dxa"/>
              <w:left w:w="100" w:type="dxa"/>
              <w:bottom w:w="100" w:type="dxa"/>
              <w:right w:w="100" w:type="dxa"/>
            </w:tcMar>
          </w:tcPr>
          <w:p w:rsidR="009F0B88" w:rsidRDefault="00B90476">
            <w:pPr>
              <w:widowControl w:val="0"/>
              <w:ind w:left="165" w:right="245"/>
              <w:jc w:val="both"/>
              <w:rPr>
                <w:rFonts w:ascii="Arial Narrow" w:eastAsia="Arial Narrow" w:hAnsi="Arial Narrow" w:cs="Arial Narrow"/>
                <w:sz w:val="22"/>
                <w:szCs w:val="22"/>
              </w:rPr>
            </w:pPr>
            <w:r>
              <w:rPr>
                <w:rFonts w:ascii="Arial Narrow" w:eastAsia="Arial Narrow" w:hAnsi="Arial Narrow" w:cs="Arial Narrow"/>
                <w:sz w:val="22"/>
                <w:szCs w:val="22"/>
              </w:rPr>
              <w:lastRenderedPageBreak/>
              <w:t>En ejercicio de sus atribuciones constitucionales y legales, en especial de las que</w:t>
            </w:r>
          </w:p>
          <w:p w:rsidR="009F0B88" w:rsidRDefault="00B90476">
            <w:pPr>
              <w:widowControl w:val="0"/>
              <w:ind w:left="165" w:right="245"/>
              <w:jc w:val="both"/>
              <w:rPr>
                <w:rFonts w:ascii="Arial Narrow" w:eastAsia="Arial Narrow" w:hAnsi="Arial Narrow" w:cs="Arial Narrow"/>
                <w:sz w:val="22"/>
                <w:szCs w:val="22"/>
              </w:rPr>
            </w:pPr>
            <w:r>
              <w:rPr>
                <w:rFonts w:ascii="Arial Narrow" w:eastAsia="Arial Narrow" w:hAnsi="Arial Narrow" w:cs="Arial Narrow"/>
                <w:sz w:val="22"/>
                <w:szCs w:val="22"/>
              </w:rPr>
              <w:t>le confiere el numeral 1o del artículo 12 del Decreto – Ley 1421 de 1993</w:t>
            </w:r>
          </w:p>
          <w:p w:rsidR="009F0B88" w:rsidRDefault="00B90476">
            <w:pPr>
              <w:widowControl w:val="0"/>
              <w:ind w:left="165" w:right="245"/>
              <w:jc w:val="center"/>
              <w:rPr>
                <w:rFonts w:ascii="Arial Narrow" w:eastAsia="Arial Narrow" w:hAnsi="Arial Narrow" w:cs="Arial Narrow"/>
                <w:b/>
                <w:sz w:val="22"/>
                <w:szCs w:val="22"/>
              </w:rPr>
            </w:pPr>
            <w:r>
              <w:rPr>
                <w:rFonts w:ascii="Arial Narrow" w:eastAsia="Arial Narrow" w:hAnsi="Arial Narrow" w:cs="Arial Narrow"/>
                <w:sz w:val="22"/>
                <w:szCs w:val="22"/>
              </w:rPr>
              <w:br/>
            </w:r>
            <w:r>
              <w:rPr>
                <w:rFonts w:ascii="Arial Narrow" w:eastAsia="Arial Narrow" w:hAnsi="Arial Narrow" w:cs="Arial Narrow"/>
                <w:b/>
                <w:sz w:val="22"/>
                <w:szCs w:val="22"/>
              </w:rPr>
              <w:t>ACUERDA</w:t>
            </w:r>
          </w:p>
        </w:tc>
        <w:tc>
          <w:tcPr>
            <w:tcW w:w="3060" w:type="dxa"/>
            <w:shd w:val="clear" w:color="auto" w:fill="auto"/>
            <w:tcMar>
              <w:top w:w="100" w:type="dxa"/>
              <w:left w:w="100" w:type="dxa"/>
              <w:bottom w:w="100" w:type="dxa"/>
              <w:right w:w="100" w:type="dxa"/>
            </w:tcMar>
          </w:tcPr>
          <w:p w:rsidR="009F0B88" w:rsidRDefault="00B90476">
            <w:pPr>
              <w:ind w:left="165" w:right="245"/>
              <w:jc w:val="both"/>
              <w:rPr>
                <w:rFonts w:ascii="Arial Narrow" w:eastAsia="Arial Narrow" w:hAnsi="Arial Narrow" w:cs="Arial Narrow"/>
                <w:sz w:val="22"/>
                <w:szCs w:val="22"/>
              </w:rPr>
            </w:pPr>
            <w:r>
              <w:rPr>
                <w:rFonts w:ascii="Arial Narrow" w:eastAsia="Arial Narrow" w:hAnsi="Arial Narrow" w:cs="Arial Narrow"/>
                <w:sz w:val="22"/>
                <w:szCs w:val="22"/>
              </w:rPr>
              <w:t>En ejercicio de sus atribuciones constitucionales y legales, en especial de las que</w:t>
            </w:r>
          </w:p>
          <w:p w:rsidR="009F0B88" w:rsidRDefault="00B90476">
            <w:pPr>
              <w:ind w:left="165" w:right="245"/>
              <w:jc w:val="both"/>
              <w:rPr>
                <w:rFonts w:ascii="Arial Narrow" w:eastAsia="Arial Narrow" w:hAnsi="Arial Narrow" w:cs="Arial Narrow"/>
                <w:sz w:val="22"/>
                <w:szCs w:val="22"/>
              </w:rPr>
            </w:pPr>
            <w:r>
              <w:rPr>
                <w:rFonts w:ascii="Arial Narrow" w:eastAsia="Arial Narrow" w:hAnsi="Arial Narrow" w:cs="Arial Narrow"/>
                <w:sz w:val="22"/>
                <w:szCs w:val="22"/>
              </w:rPr>
              <w:t>le confiere el numeral 1o del artículo 12 del Decreto – Ley 1421 de 1993</w:t>
            </w:r>
          </w:p>
          <w:p w:rsidR="009F0B88" w:rsidRDefault="00B90476">
            <w:pPr>
              <w:ind w:left="165" w:right="245"/>
              <w:jc w:val="center"/>
              <w:rPr>
                <w:rFonts w:ascii="Arial Narrow" w:eastAsia="Arial Narrow" w:hAnsi="Arial Narrow" w:cs="Arial Narrow"/>
                <w:b/>
                <w:sz w:val="22"/>
                <w:szCs w:val="22"/>
              </w:rPr>
            </w:pPr>
            <w:r>
              <w:rPr>
                <w:rFonts w:ascii="Arial Narrow" w:eastAsia="Arial Narrow" w:hAnsi="Arial Narrow" w:cs="Arial Narrow"/>
                <w:sz w:val="22"/>
                <w:szCs w:val="22"/>
              </w:rPr>
              <w:br/>
            </w:r>
            <w:r>
              <w:rPr>
                <w:rFonts w:ascii="Arial Narrow" w:eastAsia="Arial Narrow" w:hAnsi="Arial Narrow" w:cs="Arial Narrow"/>
                <w:b/>
                <w:sz w:val="22"/>
                <w:szCs w:val="22"/>
              </w:rPr>
              <w:t>ACUERDA</w:t>
            </w:r>
          </w:p>
        </w:tc>
        <w:tc>
          <w:tcPr>
            <w:tcW w:w="3210" w:type="dxa"/>
            <w:shd w:val="clear" w:color="auto" w:fill="auto"/>
            <w:tcMar>
              <w:top w:w="100" w:type="dxa"/>
              <w:left w:w="100" w:type="dxa"/>
              <w:bottom w:w="100" w:type="dxa"/>
              <w:right w:w="100" w:type="dxa"/>
            </w:tcMar>
          </w:tcPr>
          <w:p w:rsidR="009F0B88" w:rsidRDefault="00B90476">
            <w:pPr>
              <w:spacing w:line="276" w:lineRule="auto"/>
              <w:jc w:val="center"/>
              <w:rPr>
                <w:rFonts w:ascii="Arial Narrow" w:eastAsia="Arial Narrow" w:hAnsi="Arial Narrow" w:cs="Arial Narrow"/>
                <w:sz w:val="22"/>
                <w:szCs w:val="22"/>
              </w:rPr>
            </w:pPr>
            <w:r>
              <w:rPr>
                <w:rFonts w:ascii="Arial Narrow" w:eastAsia="Arial Narrow" w:hAnsi="Arial Narrow" w:cs="Arial Narrow"/>
                <w:sz w:val="22"/>
                <w:szCs w:val="22"/>
              </w:rPr>
              <w:t>Sin modificaciones</w:t>
            </w:r>
          </w:p>
        </w:tc>
      </w:tr>
      <w:tr w:rsidR="009F0B88">
        <w:tc>
          <w:tcPr>
            <w:tcW w:w="3135" w:type="dxa"/>
            <w:shd w:val="clear" w:color="auto" w:fill="auto"/>
            <w:tcMar>
              <w:top w:w="100" w:type="dxa"/>
              <w:left w:w="100" w:type="dxa"/>
              <w:bottom w:w="100" w:type="dxa"/>
              <w:right w:w="100" w:type="dxa"/>
            </w:tcMar>
          </w:tcPr>
          <w:p w:rsidR="009F0B88" w:rsidRDefault="00B90476">
            <w:pPr>
              <w:widowControl w:val="0"/>
              <w:ind w:right="23"/>
              <w:jc w:val="both"/>
              <w:rPr>
                <w:rFonts w:ascii="Arial Narrow" w:eastAsia="Arial Narrow" w:hAnsi="Arial Narrow" w:cs="Arial Narrow"/>
                <w:sz w:val="22"/>
                <w:szCs w:val="22"/>
              </w:rPr>
            </w:pPr>
            <w:r>
              <w:rPr>
                <w:rFonts w:ascii="Arial Narrow" w:eastAsia="Arial Narrow" w:hAnsi="Arial Narrow" w:cs="Arial Narrow"/>
                <w:b/>
                <w:sz w:val="22"/>
                <w:szCs w:val="22"/>
              </w:rPr>
              <w:t xml:space="preserve">ARTÍCULO 1. </w:t>
            </w:r>
            <w:r>
              <w:rPr>
                <w:rFonts w:ascii="Arial Narrow" w:eastAsia="Arial Narrow" w:hAnsi="Arial Narrow" w:cs="Arial Narrow"/>
                <w:sz w:val="22"/>
                <w:szCs w:val="22"/>
              </w:rPr>
              <w:t>La Secretaría Distrital de Salud incorporará dentro del aplicativo y/o plataforma de consulta de Conceptos Sanitarios en su página Web, los conceptos emitidos</w:t>
            </w:r>
          </w:p>
          <w:p w:rsidR="009F0B88" w:rsidRDefault="00B90476">
            <w:pPr>
              <w:widowControl w:val="0"/>
              <w:ind w:right="23"/>
              <w:jc w:val="both"/>
              <w:rPr>
                <w:rFonts w:ascii="Arial Narrow" w:eastAsia="Arial Narrow" w:hAnsi="Arial Narrow" w:cs="Arial Narrow"/>
                <w:sz w:val="22"/>
                <w:szCs w:val="22"/>
              </w:rPr>
            </w:pPr>
            <w:r>
              <w:rPr>
                <w:rFonts w:ascii="Arial Narrow" w:eastAsia="Arial Narrow" w:hAnsi="Arial Narrow" w:cs="Arial Narrow"/>
                <w:sz w:val="22"/>
                <w:szCs w:val="22"/>
              </w:rPr>
              <w:t>a establecimientos dedicados a la preparación y consumo de alimentos.</w:t>
            </w:r>
          </w:p>
          <w:p w:rsidR="009F0B88" w:rsidRDefault="009F0B88">
            <w:pPr>
              <w:widowControl w:val="0"/>
              <w:ind w:right="23"/>
              <w:jc w:val="both"/>
              <w:rPr>
                <w:rFonts w:ascii="Arial Narrow" w:eastAsia="Arial Narrow" w:hAnsi="Arial Narrow" w:cs="Arial Narrow"/>
                <w:b/>
                <w:sz w:val="22"/>
                <w:szCs w:val="22"/>
              </w:rPr>
            </w:pPr>
          </w:p>
        </w:tc>
        <w:tc>
          <w:tcPr>
            <w:tcW w:w="3060" w:type="dxa"/>
            <w:shd w:val="clear" w:color="auto" w:fill="auto"/>
            <w:tcMar>
              <w:top w:w="100" w:type="dxa"/>
              <w:left w:w="100" w:type="dxa"/>
              <w:bottom w:w="100" w:type="dxa"/>
              <w:right w:w="100" w:type="dxa"/>
            </w:tcMar>
          </w:tcPr>
          <w:p w:rsidR="009F0B88" w:rsidRDefault="00B90476">
            <w:pPr>
              <w:widowControl w:val="0"/>
              <w:ind w:right="23"/>
              <w:jc w:val="both"/>
              <w:rPr>
                <w:rFonts w:ascii="Arial Narrow" w:eastAsia="Arial Narrow" w:hAnsi="Arial Narrow" w:cs="Arial Narrow"/>
                <w:sz w:val="22"/>
                <w:szCs w:val="22"/>
              </w:rPr>
            </w:pPr>
            <w:r>
              <w:rPr>
                <w:rFonts w:ascii="Arial Narrow" w:eastAsia="Arial Narrow" w:hAnsi="Arial Narrow" w:cs="Arial Narrow"/>
                <w:b/>
                <w:sz w:val="22"/>
                <w:szCs w:val="22"/>
              </w:rPr>
              <w:t xml:space="preserve">ARTÍCULO 1. </w:t>
            </w:r>
            <w:r>
              <w:rPr>
                <w:rFonts w:ascii="Arial Narrow" w:eastAsia="Arial Narrow" w:hAnsi="Arial Narrow" w:cs="Arial Narrow"/>
                <w:color w:val="FF0000"/>
                <w:sz w:val="22"/>
                <w:szCs w:val="22"/>
              </w:rPr>
              <w:t>La administración Distrital en cabeza de</w:t>
            </w:r>
            <w:r>
              <w:rPr>
                <w:rFonts w:ascii="Arial Narrow" w:eastAsia="Arial Narrow" w:hAnsi="Arial Narrow" w:cs="Arial Narrow"/>
                <w:b/>
                <w:sz w:val="22"/>
                <w:szCs w:val="22"/>
              </w:rPr>
              <w:t xml:space="preserve"> </w:t>
            </w:r>
            <w:r>
              <w:rPr>
                <w:rFonts w:ascii="Arial Narrow" w:eastAsia="Arial Narrow" w:hAnsi="Arial Narrow" w:cs="Arial Narrow"/>
                <w:sz w:val="22"/>
                <w:szCs w:val="22"/>
              </w:rPr>
              <w:t xml:space="preserve">La Secretaría Distrital de Salud </w:t>
            </w:r>
            <w:r>
              <w:rPr>
                <w:rFonts w:ascii="Arial Narrow" w:eastAsia="Arial Narrow" w:hAnsi="Arial Narrow" w:cs="Arial Narrow"/>
                <w:color w:val="FF0000"/>
                <w:sz w:val="22"/>
                <w:szCs w:val="22"/>
              </w:rPr>
              <w:t>y las Alcaldías Locales</w:t>
            </w:r>
            <w:r>
              <w:rPr>
                <w:rFonts w:ascii="Arial Narrow" w:eastAsia="Arial Narrow" w:hAnsi="Arial Narrow" w:cs="Arial Narrow"/>
                <w:sz w:val="22"/>
                <w:szCs w:val="22"/>
              </w:rPr>
              <w:t xml:space="preserve"> </w:t>
            </w:r>
            <w:r>
              <w:rPr>
                <w:rFonts w:ascii="Arial Narrow" w:eastAsia="Arial Narrow" w:hAnsi="Arial Narrow" w:cs="Arial Narrow"/>
                <w:color w:val="FF0000"/>
                <w:sz w:val="22"/>
                <w:szCs w:val="22"/>
              </w:rPr>
              <w:t>promoverá las medidas necesarias para</w:t>
            </w:r>
            <w:r>
              <w:rPr>
                <w:rFonts w:ascii="Arial Narrow" w:eastAsia="Arial Narrow" w:hAnsi="Arial Narrow" w:cs="Arial Narrow"/>
                <w:sz w:val="22"/>
                <w:szCs w:val="22"/>
              </w:rPr>
              <w:t xml:space="preserve"> incorporar</w:t>
            </w:r>
            <w:r>
              <w:rPr>
                <w:rFonts w:ascii="Arial Narrow" w:eastAsia="Arial Narrow" w:hAnsi="Arial Narrow" w:cs="Arial Narrow"/>
                <w:strike/>
                <w:color w:val="FF0000"/>
                <w:sz w:val="22"/>
                <w:szCs w:val="22"/>
              </w:rPr>
              <w:t>á</w:t>
            </w:r>
            <w:r>
              <w:rPr>
                <w:rFonts w:ascii="Arial Narrow" w:eastAsia="Arial Narrow" w:hAnsi="Arial Narrow" w:cs="Arial Narrow"/>
                <w:sz w:val="22"/>
                <w:szCs w:val="22"/>
              </w:rPr>
              <w:t xml:space="preserve"> </w:t>
            </w:r>
            <w:r>
              <w:rPr>
                <w:rFonts w:ascii="Arial Narrow" w:eastAsia="Arial Narrow" w:hAnsi="Arial Narrow" w:cs="Arial Narrow"/>
                <w:strike/>
                <w:color w:val="FF0000"/>
                <w:sz w:val="22"/>
                <w:szCs w:val="22"/>
              </w:rPr>
              <w:t>en su página web</w:t>
            </w:r>
            <w:r>
              <w:rPr>
                <w:rFonts w:ascii="Arial Narrow" w:eastAsia="Arial Narrow" w:hAnsi="Arial Narrow" w:cs="Arial Narrow"/>
                <w:sz w:val="22"/>
                <w:szCs w:val="22"/>
              </w:rPr>
              <w:t>, dentro del aplicativo o plataforma de consulta de Conceptos Sanitarios, los conceptos emitidos para establecimientos dedicados a la preparación y consumo de alimentos.</w:t>
            </w:r>
          </w:p>
        </w:tc>
        <w:tc>
          <w:tcPr>
            <w:tcW w:w="3210" w:type="dxa"/>
            <w:shd w:val="clear" w:color="auto" w:fill="auto"/>
            <w:tcMar>
              <w:top w:w="100" w:type="dxa"/>
              <w:left w:w="100" w:type="dxa"/>
              <w:bottom w:w="100" w:type="dxa"/>
              <w:right w:w="100" w:type="dxa"/>
            </w:tcMar>
          </w:tcPr>
          <w:p w:rsidR="009F0B88" w:rsidRDefault="00B90476">
            <w:pPr>
              <w:jc w:val="both"/>
              <w:rPr>
                <w:rFonts w:ascii="Arial Narrow" w:eastAsia="Arial Narrow" w:hAnsi="Arial Narrow" w:cs="Arial Narrow"/>
                <w:i/>
                <w:sz w:val="22"/>
                <w:szCs w:val="22"/>
                <w:highlight w:val="white"/>
              </w:rPr>
            </w:pPr>
            <w:r>
              <w:rPr>
                <w:rFonts w:ascii="Arial Narrow" w:eastAsia="Arial Narrow" w:hAnsi="Arial Narrow" w:cs="Arial Narrow"/>
                <w:i/>
                <w:sz w:val="22"/>
                <w:szCs w:val="22"/>
                <w:highlight w:val="white"/>
              </w:rPr>
              <w:t>Se incluyen las palabras “la Administración Distrital en cabeza de” toda vez que si bien esta es una función que va en coherencia con las funciones de la Secretaría de salud corresponde a la Administración distrital impartir esta directriz.</w:t>
            </w:r>
          </w:p>
          <w:p w:rsidR="009F0B88" w:rsidRDefault="009F0B88">
            <w:pPr>
              <w:jc w:val="both"/>
              <w:rPr>
                <w:rFonts w:ascii="Arial Narrow" w:eastAsia="Arial Narrow" w:hAnsi="Arial Narrow" w:cs="Arial Narrow"/>
                <w:i/>
                <w:sz w:val="22"/>
                <w:szCs w:val="22"/>
                <w:highlight w:val="white"/>
              </w:rPr>
            </w:pPr>
          </w:p>
          <w:p w:rsidR="009F0B88" w:rsidRDefault="00B90476">
            <w:pPr>
              <w:jc w:val="both"/>
              <w:rPr>
                <w:sz w:val="22"/>
                <w:szCs w:val="22"/>
              </w:rPr>
            </w:pPr>
            <w:r>
              <w:rPr>
                <w:rFonts w:ascii="Arial Narrow" w:eastAsia="Arial Narrow" w:hAnsi="Arial Narrow" w:cs="Arial Narrow"/>
                <w:i/>
                <w:sz w:val="22"/>
                <w:szCs w:val="22"/>
                <w:highlight w:val="white"/>
              </w:rPr>
              <w:t>Y se incluye la palabra “promoverá las medidas necesarias” por considerarla más adecuada de cara a las funciones del Concejo.</w:t>
            </w:r>
          </w:p>
        </w:tc>
      </w:tr>
      <w:tr w:rsidR="009F0B88">
        <w:tc>
          <w:tcPr>
            <w:tcW w:w="3135" w:type="dxa"/>
            <w:shd w:val="clear" w:color="auto" w:fill="auto"/>
            <w:tcMar>
              <w:top w:w="100" w:type="dxa"/>
              <w:left w:w="100" w:type="dxa"/>
              <w:bottom w:w="100" w:type="dxa"/>
              <w:right w:w="100" w:type="dxa"/>
            </w:tcMar>
          </w:tcPr>
          <w:p w:rsidR="009F0B88" w:rsidRDefault="00B90476">
            <w:pPr>
              <w:widowControl w:val="0"/>
              <w:pBdr>
                <w:top w:val="nil"/>
                <w:left w:val="nil"/>
                <w:bottom w:val="nil"/>
                <w:right w:val="nil"/>
                <w:between w:val="nil"/>
              </w:pBdr>
              <w:ind w:right="23"/>
              <w:jc w:val="both"/>
              <w:rPr>
                <w:rFonts w:ascii="Arial Narrow" w:eastAsia="Arial Narrow" w:hAnsi="Arial Narrow" w:cs="Arial Narrow"/>
                <w:sz w:val="22"/>
                <w:szCs w:val="22"/>
              </w:rPr>
            </w:pPr>
            <w:r>
              <w:rPr>
                <w:rFonts w:ascii="Arial Narrow" w:eastAsia="Arial Narrow" w:hAnsi="Arial Narrow" w:cs="Arial Narrow"/>
                <w:b/>
                <w:sz w:val="22"/>
                <w:szCs w:val="22"/>
              </w:rPr>
              <w:t xml:space="preserve">ARTÍCULO 2. </w:t>
            </w:r>
            <w:r>
              <w:rPr>
                <w:rFonts w:ascii="Arial Narrow" w:eastAsia="Arial Narrow" w:hAnsi="Arial Narrow" w:cs="Arial Narrow"/>
                <w:sz w:val="22"/>
                <w:szCs w:val="22"/>
              </w:rPr>
              <w:t>La Secretaría Distrital de Salud habilitará canales que permitan a los ciudadanos denunciar y poner en conocimiento a la Secretaría de Salud, los establecimientos que presenten potenciales riesgos sanitarios para que se inicien los respectivos procesos de inspección vigilancia y control.</w:t>
            </w:r>
          </w:p>
          <w:p w:rsidR="009F0B88" w:rsidRDefault="009F0B88">
            <w:pPr>
              <w:widowControl w:val="0"/>
              <w:pBdr>
                <w:top w:val="nil"/>
                <w:left w:val="nil"/>
                <w:bottom w:val="nil"/>
                <w:right w:val="nil"/>
                <w:between w:val="nil"/>
              </w:pBdr>
              <w:ind w:right="23"/>
              <w:jc w:val="both"/>
              <w:rPr>
                <w:rFonts w:ascii="Arial Narrow" w:eastAsia="Arial Narrow" w:hAnsi="Arial Narrow" w:cs="Arial Narrow"/>
                <w:sz w:val="22"/>
                <w:szCs w:val="22"/>
              </w:rPr>
            </w:pPr>
          </w:p>
        </w:tc>
        <w:tc>
          <w:tcPr>
            <w:tcW w:w="3060" w:type="dxa"/>
            <w:shd w:val="clear" w:color="auto" w:fill="auto"/>
            <w:tcMar>
              <w:top w:w="100" w:type="dxa"/>
              <w:left w:w="100" w:type="dxa"/>
              <w:bottom w:w="100" w:type="dxa"/>
              <w:right w:w="100" w:type="dxa"/>
            </w:tcMar>
          </w:tcPr>
          <w:p w:rsidR="009F0B88" w:rsidRDefault="00B90476">
            <w:pPr>
              <w:widowControl w:val="0"/>
              <w:ind w:right="23"/>
              <w:jc w:val="both"/>
              <w:rPr>
                <w:rFonts w:ascii="Arial Narrow" w:eastAsia="Arial Narrow" w:hAnsi="Arial Narrow" w:cs="Arial Narrow"/>
                <w:sz w:val="22"/>
                <w:szCs w:val="22"/>
              </w:rPr>
            </w:pPr>
            <w:r>
              <w:rPr>
                <w:rFonts w:ascii="Arial Narrow" w:eastAsia="Arial Narrow" w:hAnsi="Arial Narrow" w:cs="Arial Narrow"/>
                <w:b/>
                <w:sz w:val="22"/>
                <w:szCs w:val="22"/>
              </w:rPr>
              <w:t xml:space="preserve">ARTÍCULO 2. </w:t>
            </w:r>
            <w:r>
              <w:rPr>
                <w:rFonts w:ascii="Arial Narrow" w:eastAsia="Arial Narrow" w:hAnsi="Arial Narrow" w:cs="Arial Narrow"/>
                <w:color w:val="FF0000"/>
                <w:sz w:val="22"/>
                <w:szCs w:val="22"/>
              </w:rPr>
              <w:t xml:space="preserve">La administración Distrital en cabeza de </w:t>
            </w:r>
            <w:r>
              <w:rPr>
                <w:rFonts w:ascii="Arial Narrow" w:eastAsia="Arial Narrow" w:hAnsi="Arial Narrow" w:cs="Arial Narrow"/>
                <w:sz w:val="22"/>
                <w:szCs w:val="22"/>
              </w:rPr>
              <w:t xml:space="preserve">La Secretaría Distrital de Salud </w:t>
            </w:r>
            <w:r>
              <w:rPr>
                <w:rFonts w:ascii="Arial Narrow" w:eastAsia="Arial Narrow" w:hAnsi="Arial Narrow" w:cs="Arial Narrow"/>
                <w:color w:val="FF0000"/>
                <w:sz w:val="22"/>
                <w:szCs w:val="22"/>
              </w:rPr>
              <w:t>y las Alcaldías Locales propenderá por</w:t>
            </w:r>
            <w:r>
              <w:rPr>
                <w:rFonts w:ascii="Arial Narrow" w:eastAsia="Arial Narrow" w:hAnsi="Arial Narrow" w:cs="Arial Narrow"/>
                <w:sz w:val="22"/>
                <w:szCs w:val="22"/>
              </w:rPr>
              <w:t xml:space="preserve"> habilitar canales para que los ciudadanos puedan denunciar y reportar a la entidad aquellos establecimientos que representen potenciales riesgos sanitarios, con el fin de dar inicio a los procesos correspondientes de inspección, vigilancia y control.</w:t>
            </w:r>
          </w:p>
          <w:p w:rsidR="009F0B88" w:rsidRDefault="009F0B88">
            <w:pPr>
              <w:widowControl w:val="0"/>
              <w:ind w:left="720" w:right="23"/>
              <w:jc w:val="both"/>
              <w:rPr>
                <w:rFonts w:ascii="Arial Narrow" w:eastAsia="Arial Narrow" w:hAnsi="Arial Narrow" w:cs="Arial Narrow"/>
                <w:color w:val="FF0000"/>
                <w:sz w:val="22"/>
                <w:szCs w:val="22"/>
              </w:rPr>
            </w:pPr>
          </w:p>
        </w:tc>
        <w:tc>
          <w:tcPr>
            <w:tcW w:w="3210" w:type="dxa"/>
            <w:shd w:val="clear" w:color="auto" w:fill="auto"/>
            <w:tcMar>
              <w:top w:w="100" w:type="dxa"/>
              <w:left w:w="100" w:type="dxa"/>
              <w:bottom w:w="100" w:type="dxa"/>
              <w:right w:w="100" w:type="dxa"/>
            </w:tcMar>
          </w:tcPr>
          <w:p w:rsidR="009F0B88" w:rsidRDefault="00B90476">
            <w:pPr>
              <w:jc w:val="both"/>
              <w:rPr>
                <w:sz w:val="22"/>
                <w:szCs w:val="22"/>
              </w:rPr>
            </w:pPr>
            <w:r>
              <w:rPr>
                <w:rFonts w:ascii="Arial Narrow" w:eastAsia="Arial Narrow" w:hAnsi="Arial Narrow" w:cs="Arial Narrow"/>
                <w:i/>
                <w:sz w:val="22"/>
                <w:szCs w:val="22"/>
                <w:highlight w:val="white"/>
              </w:rPr>
              <w:t>Se incluyen las palabras “la Administración Distrital en cabeza de” toda vez que si bien esta es una función que va en coherencia con las funciones de la Secretaría de salud corresponde a la Administración distrital impartir esta directriz.</w:t>
            </w:r>
          </w:p>
          <w:p w:rsidR="009F0B88" w:rsidRDefault="009F0B88">
            <w:pPr>
              <w:jc w:val="both"/>
              <w:rPr>
                <w:sz w:val="22"/>
                <w:szCs w:val="22"/>
              </w:rPr>
            </w:pPr>
          </w:p>
          <w:p w:rsidR="009F0B88" w:rsidRDefault="009F0B88">
            <w:pPr>
              <w:spacing w:line="276" w:lineRule="auto"/>
              <w:jc w:val="center"/>
              <w:rPr>
                <w:rFonts w:ascii="Arial Narrow" w:eastAsia="Arial Narrow" w:hAnsi="Arial Narrow" w:cs="Arial Narrow"/>
                <w:sz w:val="22"/>
                <w:szCs w:val="22"/>
              </w:rPr>
            </w:pPr>
          </w:p>
        </w:tc>
      </w:tr>
      <w:tr w:rsidR="009F0B88">
        <w:tc>
          <w:tcPr>
            <w:tcW w:w="3135" w:type="dxa"/>
            <w:shd w:val="clear" w:color="auto" w:fill="auto"/>
            <w:tcMar>
              <w:top w:w="100" w:type="dxa"/>
              <w:left w:w="100" w:type="dxa"/>
              <w:bottom w:w="100" w:type="dxa"/>
              <w:right w:w="100" w:type="dxa"/>
            </w:tcMar>
          </w:tcPr>
          <w:p w:rsidR="009F0B88" w:rsidRDefault="00B90476">
            <w:pPr>
              <w:widowControl w:val="0"/>
              <w:ind w:right="23"/>
              <w:jc w:val="both"/>
              <w:rPr>
                <w:rFonts w:ascii="Arial Narrow" w:eastAsia="Arial Narrow" w:hAnsi="Arial Narrow" w:cs="Arial Narrow"/>
                <w:sz w:val="22"/>
                <w:szCs w:val="22"/>
              </w:rPr>
            </w:pPr>
            <w:r>
              <w:rPr>
                <w:rFonts w:ascii="Arial Narrow" w:eastAsia="Arial Narrow" w:hAnsi="Arial Narrow" w:cs="Arial Narrow"/>
                <w:b/>
                <w:sz w:val="22"/>
                <w:szCs w:val="22"/>
              </w:rPr>
              <w:t xml:space="preserve">ARTÍCULO 3. </w:t>
            </w:r>
            <w:r>
              <w:rPr>
                <w:rFonts w:ascii="Arial Narrow" w:eastAsia="Arial Narrow" w:hAnsi="Arial Narrow" w:cs="Arial Narrow"/>
                <w:sz w:val="22"/>
                <w:szCs w:val="22"/>
              </w:rPr>
              <w:t>La Secretaría Distrital de Salud realizará campañas de sensibilización para</w:t>
            </w:r>
          </w:p>
          <w:p w:rsidR="009F0B88" w:rsidRDefault="00B90476">
            <w:pPr>
              <w:widowControl w:val="0"/>
              <w:ind w:right="23"/>
              <w:jc w:val="both"/>
              <w:rPr>
                <w:rFonts w:ascii="Arial Narrow" w:eastAsia="Arial Narrow" w:hAnsi="Arial Narrow" w:cs="Arial Narrow"/>
                <w:sz w:val="22"/>
                <w:szCs w:val="22"/>
              </w:rPr>
            </w:pPr>
            <w:r>
              <w:rPr>
                <w:rFonts w:ascii="Arial Narrow" w:eastAsia="Arial Narrow" w:hAnsi="Arial Narrow" w:cs="Arial Narrow"/>
                <w:sz w:val="22"/>
                <w:szCs w:val="22"/>
              </w:rPr>
              <w:t>que los proveedores y productores de bienes y servicios, objeto de este Acuerdo, garanticen</w:t>
            </w:r>
          </w:p>
          <w:p w:rsidR="009F0B88" w:rsidRDefault="00B90476">
            <w:pPr>
              <w:widowControl w:val="0"/>
              <w:ind w:right="23"/>
              <w:jc w:val="both"/>
              <w:rPr>
                <w:rFonts w:ascii="Arial Narrow" w:eastAsia="Arial Narrow" w:hAnsi="Arial Narrow" w:cs="Arial Narrow"/>
                <w:sz w:val="22"/>
                <w:szCs w:val="22"/>
              </w:rPr>
            </w:pPr>
            <w:r>
              <w:rPr>
                <w:rFonts w:ascii="Arial Narrow" w:eastAsia="Arial Narrow" w:hAnsi="Arial Narrow" w:cs="Arial Narrow"/>
                <w:sz w:val="22"/>
                <w:szCs w:val="22"/>
              </w:rPr>
              <w:t>la seguridad sanitaria, a través del cumplimiento de los requisitos sanitarios bajo estándares</w:t>
            </w:r>
          </w:p>
          <w:p w:rsidR="009F0B88" w:rsidRDefault="00B90476">
            <w:pPr>
              <w:widowControl w:val="0"/>
              <w:ind w:right="23"/>
              <w:jc w:val="both"/>
              <w:rPr>
                <w:rFonts w:ascii="Arial Narrow" w:eastAsia="Arial Narrow" w:hAnsi="Arial Narrow" w:cs="Arial Narrow"/>
                <w:b/>
                <w:sz w:val="22"/>
                <w:szCs w:val="22"/>
              </w:rPr>
            </w:pPr>
            <w:r>
              <w:rPr>
                <w:rFonts w:ascii="Arial Narrow" w:eastAsia="Arial Narrow" w:hAnsi="Arial Narrow" w:cs="Arial Narrow"/>
                <w:sz w:val="22"/>
                <w:szCs w:val="22"/>
              </w:rPr>
              <w:lastRenderedPageBreak/>
              <w:t>de calidad e inocuidad</w:t>
            </w:r>
            <w:r>
              <w:rPr>
                <w:rFonts w:ascii="Arial Narrow" w:eastAsia="Arial Narrow" w:hAnsi="Arial Narrow" w:cs="Arial Narrow"/>
                <w:b/>
                <w:sz w:val="22"/>
                <w:szCs w:val="22"/>
              </w:rPr>
              <w:t>.</w:t>
            </w:r>
          </w:p>
          <w:p w:rsidR="009F0B88" w:rsidRDefault="009F0B88">
            <w:pPr>
              <w:widowControl w:val="0"/>
              <w:ind w:right="23"/>
              <w:jc w:val="both"/>
              <w:rPr>
                <w:rFonts w:ascii="Arial Narrow" w:eastAsia="Arial Narrow" w:hAnsi="Arial Narrow" w:cs="Arial Narrow"/>
                <w:b/>
                <w:sz w:val="22"/>
                <w:szCs w:val="22"/>
              </w:rPr>
            </w:pPr>
          </w:p>
        </w:tc>
        <w:tc>
          <w:tcPr>
            <w:tcW w:w="3060" w:type="dxa"/>
            <w:shd w:val="clear" w:color="auto" w:fill="auto"/>
            <w:tcMar>
              <w:top w:w="100" w:type="dxa"/>
              <w:left w:w="100" w:type="dxa"/>
              <w:bottom w:w="100" w:type="dxa"/>
              <w:right w:w="100" w:type="dxa"/>
            </w:tcMar>
          </w:tcPr>
          <w:p w:rsidR="009F0B88" w:rsidRDefault="00B90476">
            <w:pPr>
              <w:widowControl w:val="0"/>
              <w:ind w:right="23"/>
              <w:jc w:val="both"/>
              <w:rPr>
                <w:rFonts w:ascii="Arial Narrow" w:eastAsia="Arial Narrow" w:hAnsi="Arial Narrow" w:cs="Arial Narrow"/>
                <w:sz w:val="22"/>
                <w:szCs w:val="22"/>
              </w:rPr>
            </w:pPr>
            <w:r>
              <w:rPr>
                <w:rFonts w:ascii="Arial Narrow" w:eastAsia="Arial Narrow" w:hAnsi="Arial Narrow" w:cs="Arial Narrow"/>
                <w:b/>
                <w:sz w:val="22"/>
                <w:szCs w:val="22"/>
              </w:rPr>
              <w:lastRenderedPageBreak/>
              <w:t xml:space="preserve">ARTÍCULO 3. </w:t>
            </w:r>
            <w:r>
              <w:rPr>
                <w:rFonts w:ascii="Arial Narrow" w:eastAsia="Arial Narrow" w:hAnsi="Arial Narrow" w:cs="Arial Narrow"/>
                <w:color w:val="FF0000"/>
                <w:sz w:val="22"/>
                <w:szCs w:val="22"/>
              </w:rPr>
              <w:t xml:space="preserve">La administración Distrital en cabeza de </w:t>
            </w:r>
            <w:r>
              <w:rPr>
                <w:rFonts w:ascii="Arial Narrow" w:eastAsia="Arial Narrow" w:hAnsi="Arial Narrow" w:cs="Arial Narrow"/>
                <w:sz w:val="22"/>
                <w:szCs w:val="22"/>
              </w:rPr>
              <w:t xml:space="preserve">la Secretaría Distrital de Salud </w:t>
            </w:r>
            <w:r>
              <w:rPr>
                <w:rFonts w:ascii="Arial Narrow" w:eastAsia="Arial Narrow" w:hAnsi="Arial Narrow" w:cs="Arial Narrow"/>
                <w:color w:val="FF0000"/>
                <w:sz w:val="22"/>
                <w:szCs w:val="22"/>
              </w:rPr>
              <w:t>y las Alcaldías Locales dirigirá sus esfuerzos a realizar</w:t>
            </w:r>
            <w:r>
              <w:rPr>
                <w:rFonts w:ascii="Arial Narrow" w:eastAsia="Arial Narrow" w:hAnsi="Arial Narrow" w:cs="Arial Narrow"/>
                <w:sz w:val="22"/>
                <w:szCs w:val="22"/>
              </w:rPr>
              <w:t xml:space="preserve"> </w:t>
            </w:r>
            <w:r>
              <w:rPr>
                <w:rFonts w:ascii="Arial Narrow" w:eastAsia="Arial Narrow" w:hAnsi="Arial Narrow" w:cs="Arial Narrow"/>
                <w:strike/>
                <w:color w:val="FF0000"/>
                <w:sz w:val="22"/>
                <w:szCs w:val="22"/>
              </w:rPr>
              <w:t>llevará a cab</w:t>
            </w:r>
            <w:r>
              <w:rPr>
                <w:rFonts w:ascii="Arial Narrow" w:eastAsia="Arial Narrow" w:hAnsi="Arial Narrow" w:cs="Arial Narrow"/>
                <w:color w:val="FF0000"/>
                <w:sz w:val="22"/>
                <w:szCs w:val="22"/>
              </w:rPr>
              <w:t>o</w:t>
            </w:r>
            <w:r>
              <w:rPr>
                <w:rFonts w:ascii="Arial Narrow" w:eastAsia="Arial Narrow" w:hAnsi="Arial Narrow" w:cs="Arial Narrow"/>
                <w:sz w:val="22"/>
                <w:szCs w:val="22"/>
              </w:rPr>
              <w:t xml:space="preserve"> campañas de sensibilización </w:t>
            </w:r>
            <w:r>
              <w:rPr>
                <w:rFonts w:ascii="Arial Narrow" w:eastAsia="Arial Narrow" w:hAnsi="Arial Narrow" w:cs="Arial Narrow"/>
                <w:color w:val="FF0000"/>
                <w:sz w:val="22"/>
                <w:szCs w:val="22"/>
              </w:rPr>
              <w:t>con los recursos que ya cuent</w:t>
            </w:r>
            <w:r>
              <w:rPr>
                <w:rFonts w:ascii="Arial Narrow" w:eastAsia="Arial Narrow" w:hAnsi="Arial Narrow" w:cs="Arial Narrow"/>
                <w:sz w:val="22"/>
                <w:szCs w:val="22"/>
              </w:rPr>
              <w:t xml:space="preserve">a para que los proveedores y productores de bienes y servicios incluidos en este Acuerdo </w:t>
            </w:r>
            <w:r>
              <w:rPr>
                <w:rFonts w:ascii="Arial Narrow" w:eastAsia="Arial Narrow" w:hAnsi="Arial Narrow" w:cs="Arial Narrow"/>
                <w:sz w:val="22"/>
                <w:szCs w:val="22"/>
              </w:rPr>
              <w:lastRenderedPageBreak/>
              <w:t>garanticen la seguridad sanitaria, cumpliendo con los requisitos sanitarios bajo estándares de calidad e inocuidad.</w:t>
            </w:r>
          </w:p>
        </w:tc>
        <w:tc>
          <w:tcPr>
            <w:tcW w:w="3210" w:type="dxa"/>
            <w:shd w:val="clear" w:color="auto" w:fill="auto"/>
            <w:tcMar>
              <w:top w:w="100" w:type="dxa"/>
              <w:left w:w="100" w:type="dxa"/>
              <w:bottom w:w="100" w:type="dxa"/>
              <w:right w:w="100" w:type="dxa"/>
            </w:tcMar>
          </w:tcPr>
          <w:p w:rsidR="009F0B88" w:rsidRDefault="00B90476">
            <w:pPr>
              <w:jc w:val="both"/>
              <w:rPr>
                <w:rFonts w:ascii="Arial Narrow" w:eastAsia="Arial Narrow" w:hAnsi="Arial Narrow" w:cs="Arial Narrow"/>
                <w:i/>
                <w:sz w:val="22"/>
                <w:szCs w:val="22"/>
                <w:highlight w:val="white"/>
              </w:rPr>
            </w:pPr>
            <w:r>
              <w:rPr>
                <w:rFonts w:ascii="Arial Narrow" w:eastAsia="Arial Narrow" w:hAnsi="Arial Narrow" w:cs="Arial Narrow"/>
                <w:i/>
                <w:sz w:val="22"/>
                <w:szCs w:val="22"/>
                <w:highlight w:val="white"/>
              </w:rPr>
              <w:lastRenderedPageBreak/>
              <w:t>Se incluyen las palabras “la Administración Distrital en cabeza de” “dirigirá sus esfuerzos a realizar” toda vez que si bien esta es una función que va en coherencia con las funciones de la Secretaría de salud corresponde a la Administración distrital impartir esta directriz.</w:t>
            </w:r>
          </w:p>
        </w:tc>
      </w:tr>
      <w:tr w:rsidR="009F0B88">
        <w:tc>
          <w:tcPr>
            <w:tcW w:w="3135" w:type="dxa"/>
            <w:shd w:val="clear" w:color="auto" w:fill="auto"/>
            <w:tcMar>
              <w:top w:w="100" w:type="dxa"/>
              <w:left w:w="100" w:type="dxa"/>
              <w:bottom w:w="100" w:type="dxa"/>
              <w:right w:w="100" w:type="dxa"/>
            </w:tcMar>
          </w:tcPr>
          <w:p w:rsidR="009F0B88" w:rsidRDefault="009F0B88">
            <w:pPr>
              <w:widowControl w:val="0"/>
              <w:ind w:right="23"/>
              <w:jc w:val="both"/>
              <w:rPr>
                <w:rFonts w:ascii="Arial Narrow" w:eastAsia="Arial Narrow" w:hAnsi="Arial Narrow" w:cs="Arial Narrow"/>
                <w:sz w:val="22"/>
                <w:szCs w:val="22"/>
              </w:rPr>
            </w:pPr>
          </w:p>
        </w:tc>
        <w:tc>
          <w:tcPr>
            <w:tcW w:w="3060" w:type="dxa"/>
            <w:shd w:val="clear" w:color="auto" w:fill="auto"/>
            <w:tcMar>
              <w:top w:w="100" w:type="dxa"/>
              <w:left w:w="100" w:type="dxa"/>
              <w:bottom w:w="100" w:type="dxa"/>
              <w:right w:w="100" w:type="dxa"/>
            </w:tcMar>
          </w:tcPr>
          <w:p w:rsidR="009F0B88" w:rsidRDefault="00B90476">
            <w:pPr>
              <w:widowControl w:val="0"/>
              <w:spacing w:before="240" w:after="240"/>
              <w:jc w:val="both"/>
              <w:rPr>
                <w:rFonts w:ascii="Arial Narrow" w:eastAsia="Arial Narrow" w:hAnsi="Arial Narrow" w:cs="Arial Narrow"/>
                <w:color w:val="FF0000"/>
                <w:sz w:val="22"/>
                <w:szCs w:val="22"/>
              </w:rPr>
            </w:pPr>
            <w:r>
              <w:rPr>
                <w:rFonts w:ascii="Arial Narrow" w:eastAsia="Arial Narrow" w:hAnsi="Arial Narrow" w:cs="Arial Narrow"/>
                <w:b/>
                <w:color w:val="FF0000"/>
                <w:sz w:val="22"/>
                <w:szCs w:val="22"/>
              </w:rPr>
              <w:t xml:space="preserve">ARTÍCULO NUEVO. </w:t>
            </w:r>
            <w:r>
              <w:rPr>
                <w:rFonts w:ascii="Arial Narrow" w:eastAsia="Arial Narrow" w:hAnsi="Arial Narrow" w:cs="Arial Narrow"/>
                <w:color w:val="FF0000"/>
                <w:sz w:val="22"/>
                <w:szCs w:val="22"/>
              </w:rPr>
              <w:t>La Administración Distrital, a través de la Secretaría Distrital de Salud y la Secretaría Distrital de Gobierno, dictará los lineamientos para que las Alcaldías Locales promuevan la implementación de mecanismos integrales de seguimiento, evaluación y retroalimentación de las medidas adoptadas en virtud del presente Acuerdo:</w:t>
            </w:r>
          </w:p>
          <w:p w:rsidR="009F0B88" w:rsidRDefault="00B90476">
            <w:pPr>
              <w:widowControl w:val="0"/>
              <w:spacing w:before="240" w:after="240"/>
              <w:jc w:val="both"/>
              <w:rPr>
                <w:rFonts w:ascii="Arial Narrow" w:eastAsia="Arial Narrow" w:hAnsi="Arial Narrow" w:cs="Arial Narrow"/>
                <w:color w:val="FF0000"/>
                <w:sz w:val="22"/>
                <w:szCs w:val="22"/>
              </w:rPr>
            </w:pPr>
            <w:r>
              <w:rPr>
                <w:rFonts w:ascii="Arial Narrow" w:eastAsia="Arial Narrow" w:hAnsi="Arial Narrow" w:cs="Arial Narrow"/>
                <w:color w:val="FF0000"/>
                <w:sz w:val="22"/>
                <w:szCs w:val="22"/>
              </w:rPr>
              <w:t>a) La actualización periódica de los conceptos sanitarios publicados en la plataforma digital, garantizando su vigencia y adecuación a la normatividad vigente.</w:t>
            </w:r>
          </w:p>
          <w:p w:rsidR="009F0B88" w:rsidRDefault="00B90476">
            <w:pPr>
              <w:widowControl w:val="0"/>
              <w:spacing w:before="240" w:after="240"/>
              <w:jc w:val="both"/>
              <w:rPr>
                <w:rFonts w:ascii="Arial Narrow" w:eastAsia="Arial Narrow" w:hAnsi="Arial Narrow" w:cs="Arial Narrow"/>
                <w:color w:val="FF0000"/>
                <w:sz w:val="22"/>
                <w:szCs w:val="22"/>
              </w:rPr>
            </w:pPr>
            <w:r>
              <w:rPr>
                <w:rFonts w:ascii="Arial Narrow" w:eastAsia="Arial Narrow" w:hAnsi="Arial Narrow" w:cs="Arial Narrow"/>
                <w:color w:val="FF0000"/>
                <w:sz w:val="22"/>
                <w:szCs w:val="22"/>
              </w:rPr>
              <w:t>b) La atención y respuesta oportuna a las denuncias recibidas por los ciudadanos a través de los canales habilitados, estableciendo un sistema de gestión que permita identificar y, en su caso, sancionar o acompañar técnicamente a los establecimientos con potenciales riesgos sanitarios.</w:t>
            </w:r>
          </w:p>
          <w:p w:rsidR="009F0B88" w:rsidRDefault="00B90476">
            <w:pPr>
              <w:widowControl w:val="0"/>
              <w:spacing w:before="240" w:after="240"/>
              <w:jc w:val="both"/>
              <w:rPr>
                <w:rFonts w:ascii="Arial Narrow" w:eastAsia="Arial Narrow" w:hAnsi="Arial Narrow" w:cs="Arial Narrow"/>
                <w:strike/>
                <w:color w:val="FF0000"/>
                <w:sz w:val="22"/>
                <w:szCs w:val="22"/>
              </w:rPr>
            </w:pPr>
            <w:r>
              <w:rPr>
                <w:rFonts w:ascii="Arial Narrow" w:eastAsia="Arial Narrow" w:hAnsi="Arial Narrow" w:cs="Arial Narrow"/>
                <w:color w:val="FF0000"/>
                <w:sz w:val="22"/>
                <w:szCs w:val="22"/>
              </w:rPr>
              <w:t>c) La elaboración y publicación de reportes periódicos de gestión y avances, que incluyan indicadores de desempeño y evaluaciones de las campañas de sensibilización, con el fin de fomentar la transparencia y la mejora continua de la gestión en salud pública en los establecimientos de preparación y consumo de alimentos.</w:t>
            </w:r>
          </w:p>
        </w:tc>
        <w:tc>
          <w:tcPr>
            <w:tcW w:w="3210" w:type="dxa"/>
            <w:shd w:val="clear" w:color="auto" w:fill="auto"/>
            <w:tcMar>
              <w:top w:w="100" w:type="dxa"/>
              <w:left w:w="100" w:type="dxa"/>
              <w:bottom w:w="100" w:type="dxa"/>
              <w:right w:w="100" w:type="dxa"/>
            </w:tcMar>
          </w:tcPr>
          <w:p w:rsidR="009F0B88" w:rsidRDefault="00B90476">
            <w:pPr>
              <w:spacing w:after="160" w:line="259" w:lineRule="auto"/>
              <w:jc w:val="both"/>
              <w:rPr>
                <w:rFonts w:ascii="Arial Narrow" w:eastAsia="Arial Narrow" w:hAnsi="Arial Narrow" w:cs="Arial Narrow"/>
                <w:i/>
                <w:sz w:val="22"/>
                <w:szCs w:val="22"/>
                <w:highlight w:val="white"/>
              </w:rPr>
            </w:pPr>
            <w:r>
              <w:rPr>
                <w:rFonts w:ascii="Arial Narrow" w:eastAsia="Arial Narrow" w:hAnsi="Arial Narrow" w:cs="Arial Narrow"/>
                <w:i/>
                <w:sz w:val="22"/>
                <w:szCs w:val="22"/>
                <w:highlight w:val="white"/>
              </w:rPr>
              <w:t xml:space="preserve">La justificación de este nuevo artículo radica en la necesidad de garantizar que las medidas adoptadas se implementen de manera efectiva y se mantengan actualizadas a lo largo del tiempo. Es fundamental establecer un mecanismo que permita el seguimiento y evaluación constante de las acciones de control, la atención oportuna a las denuncias ciudadanas y la actualización regular de la información sanitaria publicada. </w:t>
            </w:r>
          </w:p>
        </w:tc>
      </w:tr>
      <w:tr w:rsidR="009F0B88">
        <w:tc>
          <w:tcPr>
            <w:tcW w:w="3135" w:type="dxa"/>
            <w:shd w:val="clear" w:color="auto" w:fill="auto"/>
            <w:tcMar>
              <w:top w:w="100" w:type="dxa"/>
              <w:left w:w="100" w:type="dxa"/>
              <w:bottom w:w="100" w:type="dxa"/>
              <w:right w:w="100" w:type="dxa"/>
            </w:tcMar>
          </w:tcPr>
          <w:p w:rsidR="009F0B88" w:rsidRDefault="009F0B88">
            <w:pPr>
              <w:widowControl w:val="0"/>
              <w:ind w:right="23"/>
              <w:jc w:val="both"/>
              <w:rPr>
                <w:rFonts w:ascii="Arial Narrow" w:eastAsia="Arial Narrow" w:hAnsi="Arial Narrow" w:cs="Arial Narrow"/>
                <w:sz w:val="22"/>
                <w:szCs w:val="22"/>
              </w:rPr>
            </w:pPr>
          </w:p>
        </w:tc>
        <w:tc>
          <w:tcPr>
            <w:tcW w:w="3060" w:type="dxa"/>
            <w:shd w:val="clear" w:color="auto" w:fill="auto"/>
            <w:tcMar>
              <w:top w:w="100" w:type="dxa"/>
              <w:left w:w="100" w:type="dxa"/>
              <w:bottom w:w="100" w:type="dxa"/>
              <w:right w:w="100" w:type="dxa"/>
            </w:tcMar>
          </w:tcPr>
          <w:p w:rsidR="009F0B88" w:rsidRDefault="00B90476">
            <w:pPr>
              <w:widowControl w:val="0"/>
              <w:spacing w:before="240" w:after="240"/>
              <w:jc w:val="both"/>
              <w:rPr>
                <w:rFonts w:ascii="Arial Narrow" w:eastAsia="Arial Narrow" w:hAnsi="Arial Narrow" w:cs="Arial Narrow"/>
                <w:color w:val="FF0000"/>
                <w:sz w:val="22"/>
                <w:szCs w:val="22"/>
              </w:rPr>
            </w:pPr>
            <w:r>
              <w:rPr>
                <w:rFonts w:ascii="Arial Narrow" w:eastAsia="Arial Narrow" w:hAnsi="Arial Narrow" w:cs="Arial Narrow"/>
                <w:b/>
                <w:color w:val="FF0000"/>
                <w:sz w:val="22"/>
                <w:szCs w:val="22"/>
              </w:rPr>
              <w:t xml:space="preserve">ARTÍCULO NUEVO. </w:t>
            </w:r>
            <w:r>
              <w:rPr>
                <w:rFonts w:ascii="Arial Narrow" w:eastAsia="Arial Narrow" w:hAnsi="Arial Narrow" w:cs="Arial Narrow"/>
                <w:color w:val="FF0000"/>
                <w:sz w:val="22"/>
                <w:szCs w:val="22"/>
              </w:rPr>
              <w:t>La administración distrital en cabeza de la Secretaría Distrital de Salud, y las Alcaldías Locales propenderá por que los establecimientos dedicados a la preparación y consumo de alimentos garanticen que la información sanitaria relevante esté disponible y accesible para los consumidores en sus instalaciones. Esto incluirá, entre otros, la exhibición visible de los conceptos sanitarios emitidos por la Secretaría Distrital de Salud y cualquier otra información pertinente que contribuya a la toma de decisiones informadas por parte de los ciudadanos.</w:t>
            </w:r>
          </w:p>
        </w:tc>
        <w:tc>
          <w:tcPr>
            <w:tcW w:w="3210" w:type="dxa"/>
            <w:shd w:val="clear" w:color="auto" w:fill="auto"/>
            <w:tcMar>
              <w:top w:w="100" w:type="dxa"/>
              <w:left w:w="100" w:type="dxa"/>
              <w:bottom w:w="100" w:type="dxa"/>
              <w:right w:w="100" w:type="dxa"/>
            </w:tcMar>
          </w:tcPr>
          <w:p w:rsidR="009F0B88" w:rsidRDefault="00B90476">
            <w:pPr>
              <w:pBdr>
                <w:top w:val="nil"/>
                <w:left w:val="nil"/>
                <w:bottom w:val="nil"/>
                <w:right w:val="nil"/>
                <w:between w:val="nil"/>
              </w:pBdr>
              <w:spacing w:after="160" w:line="259" w:lineRule="auto"/>
              <w:jc w:val="both"/>
              <w:rPr>
                <w:rFonts w:ascii="Arial Narrow" w:eastAsia="Arial Narrow" w:hAnsi="Arial Narrow" w:cs="Arial Narrow"/>
                <w:i/>
                <w:sz w:val="22"/>
                <w:szCs w:val="22"/>
                <w:highlight w:val="white"/>
              </w:rPr>
            </w:pPr>
            <w:r>
              <w:rPr>
                <w:rFonts w:ascii="Arial Narrow" w:eastAsia="Arial Narrow" w:hAnsi="Arial Narrow" w:cs="Arial Narrow"/>
                <w:i/>
                <w:sz w:val="22"/>
                <w:szCs w:val="22"/>
                <w:highlight w:val="white"/>
              </w:rPr>
              <w:t>La inclusión de este artículo responde a la necesidad de garantizar la transparencia y el derecho de los consumidores a acceder a información sanitaria de manera directa en los establecimientos donde adquieren y consumen alimentos.</w:t>
            </w:r>
          </w:p>
        </w:tc>
      </w:tr>
      <w:tr w:rsidR="009F0B88">
        <w:tc>
          <w:tcPr>
            <w:tcW w:w="3135" w:type="dxa"/>
            <w:shd w:val="clear" w:color="auto" w:fill="auto"/>
            <w:tcMar>
              <w:top w:w="100" w:type="dxa"/>
              <w:left w:w="100" w:type="dxa"/>
              <w:bottom w:w="100" w:type="dxa"/>
              <w:right w:w="100" w:type="dxa"/>
            </w:tcMar>
          </w:tcPr>
          <w:p w:rsidR="009F0B88" w:rsidRDefault="009F0B88">
            <w:pPr>
              <w:widowControl w:val="0"/>
              <w:ind w:right="23"/>
              <w:jc w:val="both"/>
              <w:rPr>
                <w:rFonts w:ascii="Arial Narrow" w:eastAsia="Arial Narrow" w:hAnsi="Arial Narrow" w:cs="Arial Narrow"/>
                <w:sz w:val="22"/>
                <w:szCs w:val="22"/>
              </w:rPr>
            </w:pPr>
          </w:p>
        </w:tc>
        <w:tc>
          <w:tcPr>
            <w:tcW w:w="3060" w:type="dxa"/>
            <w:shd w:val="clear" w:color="auto" w:fill="auto"/>
            <w:tcMar>
              <w:top w:w="100" w:type="dxa"/>
              <w:left w:w="100" w:type="dxa"/>
              <w:bottom w:w="100" w:type="dxa"/>
              <w:right w:w="100" w:type="dxa"/>
            </w:tcMar>
          </w:tcPr>
          <w:p w:rsidR="009F0B88" w:rsidRDefault="00B90476">
            <w:pPr>
              <w:widowControl w:val="0"/>
              <w:spacing w:before="240" w:after="240"/>
              <w:jc w:val="both"/>
              <w:rPr>
                <w:rFonts w:ascii="Arial Narrow" w:eastAsia="Arial Narrow" w:hAnsi="Arial Narrow" w:cs="Arial Narrow"/>
                <w:color w:val="FF0000"/>
                <w:sz w:val="22"/>
                <w:szCs w:val="22"/>
              </w:rPr>
            </w:pPr>
            <w:r>
              <w:rPr>
                <w:rFonts w:ascii="Arial Narrow" w:eastAsia="Arial Narrow" w:hAnsi="Arial Narrow" w:cs="Arial Narrow"/>
                <w:b/>
                <w:color w:val="FF0000"/>
                <w:sz w:val="22"/>
                <w:szCs w:val="22"/>
              </w:rPr>
              <w:t xml:space="preserve">ARTÍCULO NUEVO. </w:t>
            </w:r>
            <w:r>
              <w:rPr>
                <w:rFonts w:ascii="Arial Narrow" w:eastAsia="Arial Narrow" w:hAnsi="Arial Narrow" w:cs="Arial Narrow"/>
                <w:color w:val="FF0000"/>
                <w:sz w:val="22"/>
                <w:szCs w:val="22"/>
              </w:rPr>
              <w:t>La administración distrital contará con un plazo máximo de 12 meses a partir de la entrada en vigor del presente Acuerdo para la implementación de las medidas aquí establecidas, garantizando su operatividad y cumplimiento efectivo.</w:t>
            </w:r>
          </w:p>
        </w:tc>
        <w:tc>
          <w:tcPr>
            <w:tcW w:w="3210" w:type="dxa"/>
            <w:shd w:val="clear" w:color="auto" w:fill="auto"/>
            <w:tcMar>
              <w:top w:w="100" w:type="dxa"/>
              <w:left w:w="100" w:type="dxa"/>
              <w:bottom w:w="100" w:type="dxa"/>
              <w:right w:w="100" w:type="dxa"/>
            </w:tcMar>
          </w:tcPr>
          <w:p w:rsidR="009F0B88" w:rsidRDefault="00B90476">
            <w:pPr>
              <w:pBdr>
                <w:top w:val="nil"/>
                <w:left w:val="nil"/>
                <w:bottom w:val="nil"/>
                <w:right w:val="nil"/>
                <w:between w:val="nil"/>
              </w:pBdr>
              <w:spacing w:after="160" w:line="259" w:lineRule="auto"/>
              <w:jc w:val="both"/>
              <w:rPr>
                <w:rFonts w:ascii="Arial Narrow" w:eastAsia="Arial Narrow" w:hAnsi="Arial Narrow" w:cs="Arial Narrow"/>
                <w:i/>
                <w:sz w:val="22"/>
                <w:szCs w:val="22"/>
                <w:highlight w:val="white"/>
              </w:rPr>
            </w:pPr>
            <w:r>
              <w:rPr>
                <w:rFonts w:ascii="Arial Narrow" w:eastAsia="Arial Narrow" w:hAnsi="Arial Narrow" w:cs="Arial Narrow"/>
                <w:i/>
                <w:sz w:val="22"/>
                <w:szCs w:val="22"/>
                <w:highlight w:val="white"/>
              </w:rPr>
              <w:t xml:space="preserve">El establecimiento de un plazo máximo de 12 meses para la implementación de las medidas dispuestas en el presente Acuerdo es fundamental para asegurar una ejecución oportuna y efectiva de las acciones propuestas. </w:t>
            </w:r>
          </w:p>
        </w:tc>
      </w:tr>
      <w:tr w:rsidR="009F0B88">
        <w:tc>
          <w:tcPr>
            <w:tcW w:w="3135" w:type="dxa"/>
            <w:shd w:val="clear" w:color="auto" w:fill="auto"/>
            <w:tcMar>
              <w:top w:w="100" w:type="dxa"/>
              <w:left w:w="100" w:type="dxa"/>
              <w:bottom w:w="100" w:type="dxa"/>
              <w:right w:w="100" w:type="dxa"/>
            </w:tcMar>
          </w:tcPr>
          <w:p w:rsidR="009F0B88" w:rsidRDefault="00B90476">
            <w:pPr>
              <w:widowControl w:val="0"/>
              <w:ind w:right="23"/>
              <w:jc w:val="both"/>
              <w:rPr>
                <w:rFonts w:ascii="Arial Narrow" w:eastAsia="Arial Narrow" w:hAnsi="Arial Narrow" w:cs="Arial Narrow"/>
                <w:b/>
                <w:sz w:val="22"/>
                <w:szCs w:val="22"/>
              </w:rPr>
            </w:pPr>
            <w:r>
              <w:rPr>
                <w:rFonts w:ascii="Arial Narrow" w:eastAsia="Arial Narrow" w:hAnsi="Arial Narrow" w:cs="Arial Narrow"/>
                <w:b/>
                <w:sz w:val="22"/>
                <w:szCs w:val="22"/>
              </w:rPr>
              <w:t xml:space="preserve">ARTÍCULO 4. </w:t>
            </w:r>
            <w:r>
              <w:rPr>
                <w:rFonts w:ascii="Arial Narrow" w:eastAsia="Arial Narrow" w:hAnsi="Arial Narrow" w:cs="Arial Narrow"/>
                <w:sz w:val="22"/>
                <w:szCs w:val="22"/>
              </w:rPr>
              <w:t>El presente Acuerdo rige a partir de la fecha de su publicación.</w:t>
            </w:r>
          </w:p>
        </w:tc>
        <w:tc>
          <w:tcPr>
            <w:tcW w:w="3060" w:type="dxa"/>
            <w:shd w:val="clear" w:color="auto" w:fill="auto"/>
            <w:tcMar>
              <w:top w:w="100" w:type="dxa"/>
              <w:left w:w="100" w:type="dxa"/>
              <w:bottom w:w="100" w:type="dxa"/>
              <w:right w:w="100" w:type="dxa"/>
            </w:tcMar>
          </w:tcPr>
          <w:p w:rsidR="009F0B88" w:rsidRDefault="00B90476">
            <w:pPr>
              <w:widowControl w:val="0"/>
              <w:ind w:right="23"/>
              <w:jc w:val="both"/>
              <w:rPr>
                <w:rFonts w:ascii="Arial Narrow" w:eastAsia="Arial Narrow" w:hAnsi="Arial Narrow" w:cs="Arial Narrow"/>
                <w:sz w:val="22"/>
                <w:szCs w:val="22"/>
              </w:rPr>
            </w:pPr>
            <w:r>
              <w:rPr>
                <w:rFonts w:ascii="Arial Narrow" w:eastAsia="Arial Narrow" w:hAnsi="Arial Narrow" w:cs="Arial Narrow"/>
                <w:b/>
                <w:sz w:val="22"/>
                <w:szCs w:val="22"/>
              </w:rPr>
              <w:t xml:space="preserve">ARTÍCULO </w:t>
            </w:r>
            <w:r>
              <w:rPr>
                <w:rFonts w:ascii="Arial Narrow" w:eastAsia="Arial Narrow" w:hAnsi="Arial Narrow" w:cs="Arial Narrow"/>
                <w:b/>
                <w:strike/>
                <w:sz w:val="22"/>
                <w:szCs w:val="22"/>
              </w:rPr>
              <w:t>4</w:t>
            </w:r>
            <w:r>
              <w:rPr>
                <w:rFonts w:ascii="Arial Narrow" w:eastAsia="Arial Narrow" w:hAnsi="Arial Narrow" w:cs="Arial Narrow"/>
                <w:b/>
                <w:sz w:val="22"/>
                <w:szCs w:val="22"/>
              </w:rPr>
              <w:t xml:space="preserve">. 7 </w:t>
            </w:r>
            <w:r>
              <w:rPr>
                <w:rFonts w:ascii="Arial Narrow" w:eastAsia="Arial Narrow" w:hAnsi="Arial Narrow" w:cs="Arial Narrow"/>
                <w:sz w:val="22"/>
                <w:szCs w:val="22"/>
              </w:rPr>
              <w:t>El presente Acuerdo rige a partir de la fecha de su publicación.</w:t>
            </w:r>
          </w:p>
        </w:tc>
        <w:tc>
          <w:tcPr>
            <w:tcW w:w="3210" w:type="dxa"/>
            <w:shd w:val="clear" w:color="auto" w:fill="auto"/>
            <w:tcMar>
              <w:top w:w="100" w:type="dxa"/>
              <w:left w:w="100" w:type="dxa"/>
              <w:bottom w:w="100" w:type="dxa"/>
              <w:right w:w="100" w:type="dxa"/>
            </w:tcMar>
          </w:tcPr>
          <w:p w:rsidR="009F0B88" w:rsidRDefault="00B90476">
            <w:pPr>
              <w:spacing w:line="276" w:lineRule="auto"/>
              <w:jc w:val="center"/>
              <w:rPr>
                <w:rFonts w:ascii="Arial Narrow" w:eastAsia="Arial Narrow" w:hAnsi="Arial Narrow" w:cs="Arial Narrow"/>
                <w:sz w:val="22"/>
                <w:szCs w:val="22"/>
              </w:rPr>
            </w:pPr>
            <w:r>
              <w:rPr>
                <w:rFonts w:ascii="Arial Narrow" w:eastAsia="Arial Narrow" w:hAnsi="Arial Narrow" w:cs="Arial Narrow"/>
                <w:sz w:val="22"/>
                <w:szCs w:val="22"/>
              </w:rPr>
              <w:t>Se realizó modificaciones de forma</w:t>
            </w:r>
          </w:p>
        </w:tc>
      </w:tr>
    </w:tbl>
    <w:p w:rsidR="009F0B88" w:rsidRDefault="009F0B88">
      <w:pPr>
        <w:keepNext/>
        <w:keepLines/>
        <w:pBdr>
          <w:top w:val="nil"/>
          <w:left w:val="nil"/>
          <w:bottom w:val="nil"/>
          <w:right w:val="nil"/>
          <w:between w:val="nil"/>
        </w:pBdr>
        <w:tabs>
          <w:tab w:val="left" w:pos="284"/>
        </w:tabs>
        <w:spacing w:line="276" w:lineRule="auto"/>
        <w:jc w:val="both"/>
        <w:rPr>
          <w:rFonts w:ascii="Arial Narrow" w:eastAsia="Arial Narrow" w:hAnsi="Arial Narrow" w:cs="Arial Narrow"/>
          <w:b/>
          <w:sz w:val="22"/>
          <w:szCs w:val="22"/>
          <w:highlight w:val="yellow"/>
        </w:rPr>
      </w:pPr>
    </w:p>
    <w:p w:rsidR="009F0B88" w:rsidRDefault="009F0B88">
      <w:pPr>
        <w:keepNext/>
        <w:keepLines/>
        <w:pBdr>
          <w:top w:val="nil"/>
          <w:left w:val="nil"/>
          <w:bottom w:val="nil"/>
          <w:right w:val="nil"/>
          <w:between w:val="nil"/>
        </w:pBdr>
        <w:tabs>
          <w:tab w:val="left" w:pos="284"/>
        </w:tabs>
        <w:spacing w:line="276" w:lineRule="auto"/>
        <w:jc w:val="both"/>
        <w:rPr>
          <w:rFonts w:ascii="Arial Narrow" w:eastAsia="Arial Narrow" w:hAnsi="Arial Narrow" w:cs="Arial Narrow"/>
          <w:b/>
          <w:sz w:val="22"/>
          <w:szCs w:val="22"/>
          <w:highlight w:val="yellow"/>
        </w:rPr>
      </w:pPr>
    </w:p>
    <w:p w:rsidR="009F0B88" w:rsidRDefault="009F0B88">
      <w:pPr>
        <w:keepNext/>
        <w:keepLines/>
        <w:pBdr>
          <w:top w:val="nil"/>
          <w:left w:val="nil"/>
          <w:bottom w:val="nil"/>
          <w:right w:val="nil"/>
          <w:between w:val="nil"/>
        </w:pBdr>
        <w:tabs>
          <w:tab w:val="left" w:pos="284"/>
        </w:tabs>
        <w:spacing w:line="276" w:lineRule="auto"/>
        <w:jc w:val="both"/>
        <w:rPr>
          <w:rFonts w:ascii="Arial Narrow" w:eastAsia="Arial Narrow" w:hAnsi="Arial Narrow" w:cs="Arial Narrow"/>
          <w:b/>
          <w:sz w:val="22"/>
          <w:szCs w:val="22"/>
          <w:highlight w:val="yellow"/>
        </w:rPr>
      </w:pPr>
    </w:p>
    <w:p w:rsidR="009F0B88" w:rsidRDefault="009F0B88">
      <w:pPr>
        <w:keepNext/>
        <w:keepLines/>
        <w:pBdr>
          <w:top w:val="nil"/>
          <w:left w:val="nil"/>
          <w:bottom w:val="nil"/>
          <w:right w:val="nil"/>
          <w:between w:val="nil"/>
        </w:pBdr>
        <w:tabs>
          <w:tab w:val="left" w:pos="284"/>
        </w:tabs>
        <w:spacing w:line="276" w:lineRule="auto"/>
        <w:jc w:val="both"/>
        <w:rPr>
          <w:rFonts w:ascii="Arial Narrow" w:eastAsia="Arial Narrow" w:hAnsi="Arial Narrow" w:cs="Arial Narrow"/>
          <w:b/>
          <w:sz w:val="22"/>
          <w:szCs w:val="22"/>
          <w:highlight w:val="yellow"/>
        </w:rPr>
      </w:pPr>
    </w:p>
    <w:p w:rsidR="009F0B88" w:rsidRDefault="00B90476">
      <w:pPr>
        <w:keepNext/>
        <w:keepLines/>
        <w:pBdr>
          <w:top w:val="nil"/>
          <w:left w:val="nil"/>
          <w:bottom w:val="nil"/>
          <w:right w:val="nil"/>
          <w:between w:val="nil"/>
        </w:pBdr>
        <w:tabs>
          <w:tab w:val="left" w:pos="284"/>
        </w:tabs>
        <w:spacing w:line="276" w:lineRule="auto"/>
        <w:jc w:val="both"/>
        <w:rPr>
          <w:rFonts w:ascii="Arial Narrow" w:eastAsia="Arial Narrow" w:hAnsi="Arial Narrow" w:cs="Arial Narrow"/>
          <w:b/>
          <w:color w:val="000000"/>
          <w:sz w:val="22"/>
          <w:szCs w:val="22"/>
        </w:rPr>
      </w:pPr>
      <w:r>
        <w:rPr>
          <w:rFonts w:ascii="Arial Narrow" w:eastAsia="Arial Narrow" w:hAnsi="Arial Narrow" w:cs="Arial Narrow"/>
          <w:b/>
          <w:sz w:val="22"/>
          <w:szCs w:val="22"/>
        </w:rPr>
        <w:t>8. ANÁLISIS DEL IMPACTO FISCAL</w:t>
      </w:r>
    </w:p>
    <w:p w:rsidR="009F0B88" w:rsidRDefault="009F0B88">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Narrow" w:eastAsia="Arial Narrow" w:hAnsi="Arial Narrow" w:cs="Arial Narrow"/>
          <w:b/>
          <w:sz w:val="22"/>
          <w:szCs w:val="22"/>
        </w:rPr>
      </w:pPr>
    </w:p>
    <w:p w:rsidR="009F0B88" w:rsidRDefault="00B90476">
      <w:pPr>
        <w:keepNext/>
        <w:keepLines/>
        <w:pBdr>
          <w:top w:val="nil"/>
          <w:left w:val="nil"/>
          <w:bottom w:val="nil"/>
          <w:right w:val="nil"/>
          <w:between w:val="nil"/>
        </w:pBdr>
        <w:tabs>
          <w:tab w:val="left" w:pos="567"/>
          <w:tab w:val="left" w:pos="284"/>
        </w:tabs>
        <w:spacing w:line="276" w:lineRule="auto"/>
        <w:jc w:val="both"/>
        <w:rPr>
          <w:rFonts w:ascii="Arial Narrow" w:eastAsia="Arial Narrow" w:hAnsi="Arial Narrow" w:cs="Arial Narrow"/>
          <w:b/>
          <w:color w:val="000000"/>
          <w:sz w:val="22"/>
          <w:szCs w:val="22"/>
        </w:rPr>
      </w:pPr>
      <w:r>
        <w:rPr>
          <w:rFonts w:ascii="Arial Narrow" w:eastAsia="Arial Narrow" w:hAnsi="Arial Narrow" w:cs="Arial Narrow"/>
          <w:b/>
          <w:sz w:val="22"/>
          <w:szCs w:val="22"/>
        </w:rPr>
        <w:t xml:space="preserve">8.1. </w:t>
      </w:r>
      <w:r>
        <w:rPr>
          <w:rFonts w:ascii="Arial Narrow" w:eastAsia="Arial Narrow" w:hAnsi="Arial Narrow" w:cs="Arial Narrow"/>
          <w:b/>
          <w:color w:val="000000"/>
          <w:sz w:val="22"/>
          <w:szCs w:val="22"/>
        </w:rPr>
        <w:t xml:space="preserve">Según el autor de la iniciativa </w:t>
      </w:r>
      <w:r>
        <w:rPr>
          <w:rFonts w:ascii="Arial Narrow" w:eastAsia="Arial Narrow" w:hAnsi="Arial Narrow" w:cs="Arial Narrow"/>
          <w:b/>
          <w:sz w:val="22"/>
          <w:szCs w:val="22"/>
        </w:rPr>
        <w:t>indica lo siguiente:</w:t>
      </w:r>
    </w:p>
    <w:p w:rsidR="009F0B88" w:rsidRDefault="009F0B88">
      <w:pPr>
        <w:ind w:left="720"/>
        <w:jc w:val="both"/>
        <w:rPr>
          <w:rFonts w:ascii="Arial Narrow" w:eastAsia="Arial Narrow" w:hAnsi="Arial Narrow" w:cs="Arial Narrow"/>
          <w:b/>
          <w:i/>
          <w:sz w:val="22"/>
          <w:szCs w:val="22"/>
        </w:rPr>
      </w:pPr>
    </w:p>
    <w:p w:rsidR="009F0B88" w:rsidRDefault="00B90476">
      <w:pPr>
        <w:ind w:left="720"/>
        <w:jc w:val="both"/>
        <w:rPr>
          <w:rFonts w:ascii="Arial Narrow" w:eastAsia="Arial Narrow" w:hAnsi="Arial Narrow" w:cs="Arial Narrow"/>
          <w:sz w:val="22"/>
          <w:szCs w:val="22"/>
        </w:rPr>
      </w:pPr>
      <w:r>
        <w:rPr>
          <w:rFonts w:ascii="Arial Narrow" w:eastAsia="Arial Narrow" w:hAnsi="Arial Narrow" w:cs="Arial Narrow"/>
          <w:sz w:val="22"/>
          <w:szCs w:val="22"/>
        </w:rPr>
        <w:lastRenderedPageBreak/>
        <w:t>De conformidad con el artículo 7 de la Ley 819 de 2003, la presente iniciativa no genera un impacto fiscal que implique una modificación en el marco fiscal de mediano plazo, toda vez, que no se incrementará el presupuesto del Distrito, ni ocasionará la creación de una nueva fuente de financiación. Las medidas a adoptar deberán ser financiadas con el presupuesto de las entidades pertinentes.</w:t>
      </w:r>
    </w:p>
    <w:p w:rsidR="009F0B88" w:rsidRDefault="009F0B88">
      <w:pPr>
        <w:ind w:left="720"/>
        <w:jc w:val="both"/>
        <w:rPr>
          <w:rFonts w:ascii="Arial Narrow" w:eastAsia="Arial Narrow" w:hAnsi="Arial Narrow" w:cs="Arial Narrow"/>
          <w:sz w:val="22"/>
          <w:szCs w:val="22"/>
        </w:rPr>
      </w:pPr>
    </w:p>
    <w:p w:rsidR="009F0B88" w:rsidRDefault="00B90476">
      <w:pPr>
        <w:ind w:left="720"/>
        <w:jc w:val="both"/>
        <w:rPr>
          <w:rFonts w:ascii="Arial Narrow" w:eastAsia="Arial Narrow" w:hAnsi="Arial Narrow" w:cs="Arial Narrow"/>
          <w:sz w:val="22"/>
          <w:szCs w:val="22"/>
        </w:rPr>
      </w:pPr>
      <w:r>
        <w:rPr>
          <w:rFonts w:ascii="Arial Narrow" w:eastAsia="Arial Narrow" w:hAnsi="Arial Narrow" w:cs="Arial Narrow"/>
          <w:sz w:val="22"/>
          <w:szCs w:val="22"/>
        </w:rPr>
        <w:t>Es relevante mencionar, para el caso en concreto, que no obstante lo anterior, la Corte Constitucional en Sentencia C-911 de 2007, puntualizó que el impacto fiscal de las normas, no puede convertirse en obstáculo para que las corporaciones públicas ejerzan su función legislativa y normativa, afirmando:</w:t>
      </w:r>
    </w:p>
    <w:p w:rsidR="009F0B88" w:rsidRDefault="009F0B88">
      <w:pPr>
        <w:ind w:left="720"/>
        <w:jc w:val="both"/>
        <w:rPr>
          <w:rFonts w:ascii="Arial Narrow" w:eastAsia="Arial Narrow" w:hAnsi="Arial Narrow" w:cs="Arial Narrow"/>
          <w:sz w:val="22"/>
          <w:szCs w:val="22"/>
        </w:rPr>
      </w:pPr>
    </w:p>
    <w:p w:rsidR="009F0B88" w:rsidRDefault="00B90476">
      <w:pPr>
        <w:ind w:left="1428"/>
        <w:jc w:val="both"/>
        <w:rPr>
          <w:rFonts w:ascii="Arial Narrow" w:eastAsia="Arial Narrow" w:hAnsi="Arial Narrow" w:cs="Arial Narrow"/>
          <w:sz w:val="22"/>
          <w:szCs w:val="22"/>
        </w:rPr>
      </w:pPr>
      <w:r>
        <w:rPr>
          <w:rFonts w:ascii="Arial Narrow" w:eastAsia="Arial Narrow" w:hAnsi="Arial Narrow" w:cs="Arial Narrow"/>
          <w:sz w:val="22"/>
          <w:szCs w:val="22"/>
        </w:rPr>
        <w:t>“En la realidad, aceptar que las condiciones establecidas en el art. 7° de la Ley 819 de 2003 constituyen un requisito de trámite que le incumbe cumplir única y exclusivamente al Congreso reduce desproporcionadamente la capacidad de iniciativa legislativa que reside en el Congreso de la República, con lo cual se vulnera el principio de separación de las Ramas del Poder Público, en la medida en que se lesiona seriamente la autonomía del Legislativo”.</w:t>
      </w:r>
    </w:p>
    <w:p w:rsidR="009F0B88" w:rsidRDefault="009F0B88">
      <w:pPr>
        <w:ind w:left="1428"/>
        <w:jc w:val="both"/>
        <w:rPr>
          <w:rFonts w:ascii="Arial Narrow" w:eastAsia="Arial Narrow" w:hAnsi="Arial Narrow" w:cs="Arial Narrow"/>
          <w:sz w:val="22"/>
          <w:szCs w:val="22"/>
        </w:rPr>
      </w:pPr>
    </w:p>
    <w:p w:rsidR="009F0B88" w:rsidRDefault="00B90476">
      <w:pPr>
        <w:ind w:left="1428"/>
        <w:jc w:val="both"/>
        <w:rPr>
          <w:rFonts w:ascii="Arial Narrow" w:eastAsia="Arial Narrow" w:hAnsi="Arial Narrow" w:cs="Arial Narrow"/>
          <w:sz w:val="22"/>
          <w:szCs w:val="22"/>
        </w:rPr>
      </w:pPr>
      <w:r>
        <w:rPr>
          <w:rFonts w:ascii="Arial Narrow" w:eastAsia="Arial Narrow" w:hAnsi="Arial Narrow" w:cs="Arial Narrow"/>
          <w:sz w:val="22"/>
          <w:szCs w:val="22"/>
        </w:rPr>
        <w:t>“(…) Precisamente, los obstáculos casi insuperables que se generarían para la actividad legislativa del Congreso de la República conducirán a concederle una forma de poder de veto al ministro de Hacienda sobre las iniciativas de ley en el Parlamento. Es decir, el mencionado artículo debe interpretarse en el sentido de que su fin es obtener que las leyes que se dicten tengan en cuenta las realidades macroeconómicas, pero sin crear barreras insalvables en el ejercicio de la función legislativa ni crear un poder de veto legislativo en cabeza del ministro de Hacienda”.</w:t>
      </w:r>
    </w:p>
    <w:p w:rsidR="009F0B88" w:rsidRDefault="009F0B88">
      <w:pPr>
        <w:jc w:val="both"/>
        <w:rPr>
          <w:rFonts w:ascii="Arial Narrow" w:eastAsia="Arial Narrow" w:hAnsi="Arial Narrow" w:cs="Arial Narrow"/>
          <w:sz w:val="22"/>
          <w:szCs w:val="22"/>
        </w:rPr>
      </w:pPr>
    </w:p>
    <w:p w:rsidR="009F0B88" w:rsidRDefault="00B90476">
      <w:pPr>
        <w:keepNext/>
        <w:keepLines/>
        <w:pBdr>
          <w:top w:val="nil"/>
          <w:left w:val="nil"/>
          <w:bottom w:val="nil"/>
          <w:right w:val="nil"/>
          <w:between w:val="nil"/>
        </w:pBdr>
        <w:tabs>
          <w:tab w:val="left" w:pos="567"/>
          <w:tab w:val="left" w:pos="284"/>
        </w:tabs>
        <w:spacing w:line="276" w:lineRule="auto"/>
        <w:jc w:val="both"/>
        <w:rPr>
          <w:rFonts w:ascii="Arial Narrow" w:eastAsia="Arial Narrow" w:hAnsi="Arial Narrow" w:cs="Arial Narrow"/>
          <w:b/>
          <w:color w:val="000000"/>
          <w:sz w:val="22"/>
          <w:szCs w:val="22"/>
        </w:rPr>
      </w:pPr>
      <w:r>
        <w:rPr>
          <w:rFonts w:ascii="Arial Narrow" w:eastAsia="Arial Narrow" w:hAnsi="Arial Narrow" w:cs="Arial Narrow"/>
          <w:b/>
          <w:sz w:val="22"/>
          <w:szCs w:val="22"/>
        </w:rPr>
        <w:t xml:space="preserve">8.2. </w:t>
      </w:r>
      <w:r>
        <w:rPr>
          <w:rFonts w:ascii="Arial Narrow" w:eastAsia="Arial Narrow" w:hAnsi="Arial Narrow" w:cs="Arial Narrow"/>
          <w:b/>
          <w:color w:val="000000"/>
          <w:sz w:val="22"/>
          <w:szCs w:val="22"/>
        </w:rPr>
        <w:t>Consideraciones del ponente</w:t>
      </w:r>
    </w:p>
    <w:p w:rsidR="009F0B88" w:rsidRDefault="009F0B88">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Narrow" w:eastAsia="Arial Narrow" w:hAnsi="Arial Narrow" w:cs="Arial Narrow"/>
          <w:b/>
          <w:sz w:val="22"/>
          <w:szCs w:val="22"/>
        </w:rPr>
      </w:pPr>
    </w:p>
    <w:p w:rsidR="009F0B88" w:rsidRDefault="00B90476">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Narrow" w:eastAsia="Arial Narrow" w:hAnsi="Arial Narrow" w:cs="Arial Narrow"/>
          <w:sz w:val="22"/>
          <w:szCs w:val="22"/>
        </w:rPr>
      </w:pPr>
      <w:r>
        <w:rPr>
          <w:rFonts w:ascii="Arial Narrow" w:eastAsia="Arial Narrow" w:hAnsi="Arial Narrow" w:cs="Arial Narrow"/>
          <w:sz w:val="22"/>
          <w:szCs w:val="22"/>
        </w:rPr>
        <w:t>A continuación, se expone el análisis del proyecto de Acuerdo No. 043 de 2024, de conformidad con el artículo 7° de la Ley 819 de 2003, establece lo siguiente:</w:t>
      </w:r>
    </w:p>
    <w:p w:rsidR="009F0B88" w:rsidRDefault="009F0B88">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Narrow" w:eastAsia="Arial Narrow" w:hAnsi="Arial Narrow" w:cs="Arial Narrow"/>
          <w:sz w:val="22"/>
          <w:szCs w:val="22"/>
        </w:rPr>
      </w:pPr>
    </w:p>
    <w:p w:rsidR="009F0B88" w:rsidRDefault="00B90476">
      <w:pPr>
        <w:pBdr>
          <w:top w:val="none" w:sz="0" w:space="0" w:color="000000"/>
          <w:left w:val="none" w:sz="0" w:space="0" w:color="000000"/>
          <w:bottom w:val="none" w:sz="0" w:space="0" w:color="000000"/>
          <w:right w:val="none" w:sz="0" w:space="0" w:color="000000"/>
          <w:between w:val="none" w:sz="0" w:space="0" w:color="000000"/>
        </w:pBdr>
        <w:spacing w:line="276" w:lineRule="auto"/>
        <w:ind w:left="708"/>
        <w:jc w:val="both"/>
        <w:rPr>
          <w:rFonts w:ascii="Arial Narrow" w:eastAsia="Arial Narrow" w:hAnsi="Arial Narrow" w:cs="Arial Narrow"/>
          <w:i/>
          <w:sz w:val="22"/>
          <w:szCs w:val="22"/>
        </w:rPr>
      </w:pPr>
      <w:r>
        <w:rPr>
          <w:rFonts w:ascii="Arial Narrow" w:eastAsia="Arial Narrow" w:hAnsi="Arial Narrow" w:cs="Arial Narrow"/>
          <w:b/>
          <w:i/>
          <w:sz w:val="22"/>
          <w:szCs w:val="22"/>
        </w:rPr>
        <w:t>“Artículo 7º.</w:t>
      </w:r>
      <w:r>
        <w:rPr>
          <w:rFonts w:ascii="Arial Narrow" w:eastAsia="Arial Narrow" w:hAnsi="Arial Narrow" w:cs="Arial Narrow"/>
          <w:i/>
          <w:sz w:val="22"/>
          <w:szCs w:val="22"/>
        </w:rPr>
        <w:t xml:space="preserve"> Análisis del impacto fiscal de las normas. En todo momento, el impacto fiscal de cualquier proyecto de ley, ordenanza o acuerdo, que ordene gasto o que otorgue beneficios tributarios, deberá hacerse explícito y deberá ser compatible con el Marco Fiscal de Mediano Plazo.</w:t>
      </w:r>
    </w:p>
    <w:p w:rsidR="009F0B88" w:rsidRDefault="009F0B88">
      <w:pPr>
        <w:pBdr>
          <w:top w:val="none" w:sz="0" w:space="0" w:color="000000"/>
          <w:left w:val="none" w:sz="0" w:space="0" w:color="000000"/>
          <w:bottom w:val="none" w:sz="0" w:space="0" w:color="000000"/>
          <w:right w:val="none" w:sz="0" w:space="0" w:color="000000"/>
          <w:between w:val="none" w:sz="0" w:space="0" w:color="000000"/>
        </w:pBdr>
        <w:spacing w:line="276" w:lineRule="auto"/>
        <w:ind w:left="708"/>
        <w:jc w:val="both"/>
        <w:rPr>
          <w:rFonts w:ascii="Arial Narrow" w:eastAsia="Arial Narrow" w:hAnsi="Arial Narrow" w:cs="Arial Narrow"/>
          <w:i/>
          <w:sz w:val="22"/>
          <w:szCs w:val="22"/>
        </w:rPr>
      </w:pPr>
    </w:p>
    <w:p w:rsidR="009F0B88" w:rsidRDefault="00B90476">
      <w:pPr>
        <w:pBdr>
          <w:top w:val="none" w:sz="0" w:space="0" w:color="000000"/>
          <w:left w:val="none" w:sz="0" w:space="0" w:color="000000"/>
          <w:bottom w:val="none" w:sz="0" w:space="0" w:color="000000"/>
          <w:right w:val="none" w:sz="0" w:space="0" w:color="000000"/>
          <w:between w:val="none" w:sz="0" w:space="0" w:color="000000"/>
        </w:pBdr>
        <w:spacing w:line="276" w:lineRule="auto"/>
        <w:ind w:left="708"/>
        <w:jc w:val="both"/>
        <w:rPr>
          <w:rFonts w:ascii="Arial Narrow" w:eastAsia="Arial Narrow" w:hAnsi="Arial Narrow" w:cs="Arial Narrow"/>
          <w:i/>
          <w:sz w:val="22"/>
          <w:szCs w:val="22"/>
        </w:rPr>
      </w:pPr>
      <w:r>
        <w:rPr>
          <w:rFonts w:ascii="Arial Narrow" w:eastAsia="Arial Narrow" w:hAnsi="Arial Narrow" w:cs="Arial Narrow"/>
          <w:i/>
          <w:sz w:val="22"/>
          <w:szCs w:val="22"/>
        </w:rPr>
        <w:t xml:space="preserve">Para estos propósitos, deberá incluirse expresamente en la exposición de motivos y en las ponencias de trámite respectivas los costos fiscales de la iniciativa y la fuente de ingreso adicional generada para el financiamiento de dicho costo (…)”. </w:t>
      </w:r>
    </w:p>
    <w:p w:rsidR="009F0B88" w:rsidRDefault="009F0B88">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Narrow" w:eastAsia="Arial Narrow" w:hAnsi="Arial Narrow" w:cs="Arial Narrow"/>
          <w:sz w:val="22"/>
          <w:szCs w:val="22"/>
        </w:rPr>
      </w:pPr>
    </w:p>
    <w:p w:rsidR="009F0B88" w:rsidRDefault="00B90476">
      <w:pPr>
        <w:spacing w:line="276" w:lineRule="auto"/>
        <w:jc w:val="both"/>
        <w:rPr>
          <w:rFonts w:ascii="Arial Narrow" w:eastAsia="Arial Narrow" w:hAnsi="Arial Narrow" w:cs="Arial Narrow"/>
          <w:sz w:val="22"/>
          <w:szCs w:val="22"/>
        </w:rPr>
      </w:pPr>
      <w:r>
        <w:rPr>
          <w:rFonts w:ascii="Arial Narrow" w:eastAsia="Arial Narrow" w:hAnsi="Arial Narrow" w:cs="Arial Narrow"/>
          <w:sz w:val="22"/>
          <w:szCs w:val="22"/>
        </w:rPr>
        <w:t xml:space="preserve">Por lo anterior, el Proyecto de Acuerdo en estudio, no tiene impacto fiscal. Los gastos que genere la presente iniciativa se entenderán incluidos en los presupuestos y en el Plan Operativo Anual de Inversión de las entidades competentes. </w:t>
      </w:r>
    </w:p>
    <w:p w:rsidR="009F0B88" w:rsidRDefault="009F0B88">
      <w:pPr>
        <w:spacing w:line="276" w:lineRule="auto"/>
        <w:jc w:val="both"/>
        <w:rPr>
          <w:rFonts w:ascii="Arial Narrow" w:eastAsia="Arial Narrow" w:hAnsi="Arial Narrow" w:cs="Arial Narrow"/>
          <w:sz w:val="22"/>
          <w:szCs w:val="22"/>
        </w:rPr>
      </w:pPr>
    </w:p>
    <w:p w:rsidR="009F0B88" w:rsidRDefault="00B90476">
      <w:pPr>
        <w:spacing w:line="276" w:lineRule="auto"/>
        <w:jc w:val="both"/>
        <w:rPr>
          <w:rFonts w:ascii="Arial Narrow" w:eastAsia="Arial Narrow" w:hAnsi="Arial Narrow" w:cs="Arial Narrow"/>
          <w:sz w:val="22"/>
          <w:szCs w:val="22"/>
        </w:rPr>
      </w:pPr>
      <w:r>
        <w:rPr>
          <w:rFonts w:ascii="Arial Narrow" w:eastAsia="Arial Narrow" w:hAnsi="Arial Narrow" w:cs="Arial Narrow"/>
          <w:sz w:val="22"/>
          <w:szCs w:val="22"/>
        </w:rPr>
        <w:t>Es relevante mencionar, para el caso en concreto, la Sentencia C-911 de 2007 de la Corte Constitucional, en la cual se puntualizó que el impacto fiscal de las normas no puede convertirse en óbice, para que las corporaciones públicas ejerzan su función legislativa y normativa de la siguiente manera:</w:t>
      </w:r>
    </w:p>
    <w:p w:rsidR="009F0B88" w:rsidRDefault="009F0B88">
      <w:pPr>
        <w:spacing w:line="276" w:lineRule="auto"/>
        <w:jc w:val="both"/>
        <w:rPr>
          <w:rFonts w:ascii="Arial Narrow" w:eastAsia="Arial Narrow" w:hAnsi="Arial Narrow" w:cs="Arial Narrow"/>
          <w:sz w:val="22"/>
          <w:szCs w:val="22"/>
        </w:rPr>
      </w:pPr>
    </w:p>
    <w:p w:rsidR="009F0B88" w:rsidRDefault="00B90476">
      <w:pPr>
        <w:spacing w:line="276" w:lineRule="auto"/>
        <w:ind w:left="720"/>
        <w:jc w:val="both"/>
        <w:rPr>
          <w:rFonts w:ascii="Arial Narrow" w:eastAsia="Arial Narrow" w:hAnsi="Arial Narrow" w:cs="Arial Narrow"/>
          <w:i/>
          <w:sz w:val="22"/>
          <w:szCs w:val="22"/>
        </w:rPr>
      </w:pPr>
      <w:r>
        <w:rPr>
          <w:rFonts w:ascii="Arial Narrow" w:eastAsia="Arial Narrow" w:hAnsi="Arial Narrow" w:cs="Arial Narrow"/>
          <w:i/>
          <w:sz w:val="22"/>
          <w:szCs w:val="22"/>
        </w:rPr>
        <w:lastRenderedPageBreak/>
        <w:t>En realidad, aceptar que las condiciones establecidas en el art. 7° de la Ley 819 de 2003 constituyen un requisito de trámite que le incumbe cumplir única y exclusivamente al Congreso reduce desproporcionadamente la capacidad de iniciativa legislativa que reside en el Congreso de la República, con lo cual se vulnera el principio de separación de las Ramas del Poder Público, en la medida en que se lesiona seriamente la autonomía del Legislativo.</w:t>
      </w:r>
    </w:p>
    <w:p w:rsidR="009F0B88" w:rsidRDefault="009F0B88">
      <w:pPr>
        <w:spacing w:line="276" w:lineRule="auto"/>
        <w:ind w:left="720"/>
        <w:jc w:val="both"/>
        <w:rPr>
          <w:rFonts w:ascii="Arial Narrow" w:eastAsia="Arial Narrow" w:hAnsi="Arial Narrow" w:cs="Arial Narrow"/>
          <w:i/>
          <w:sz w:val="22"/>
          <w:szCs w:val="22"/>
        </w:rPr>
      </w:pPr>
    </w:p>
    <w:p w:rsidR="009F0B88" w:rsidRDefault="00B90476">
      <w:pPr>
        <w:spacing w:line="276" w:lineRule="auto"/>
        <w:ind w:left="720"/>
        <w:jc w:val="both"/>
        <w:rPr>
          <w:rFonts w:ascii="Arial Narrow" w:eastAsia="Arial Narrow" w:hAnsi="Arial Narrow" w:cs="Arial Narrow"/>
          <w:i/>
          <w:sz w:val="22"/>
          <w:szCs w:val="22"/>
        </w:rPr>
      </w:pPr>
      <w:r>
        <w:rPr>
          <w:rFonts w:ascii="Arial Narrow" w:eastAsia="Arial Narrow" w:hAnsi="Arial Narrow" w:cs="Arial Narrow"/>
          <w:i/>
          <w:sz w:val="22"/>
          <w:szCs w:val="22"/>
        </w:rPr>
        <w:t>Precisamente, los obstáculos casi insuperables que se generarían para la actividad legislativa del Congreso de la República conducirán a concederle una forma de poder de veto al Ministro de Hacienda sobre las iniciativas de ley en el Parlamento. Es decir, el mencionado artículo debe interpretarse en el sentido de que su fin es obtener que las leyes que se dicten tengan en cuenta las realidades macroeconómicas, pero sin crear barreras insalvables en el ejercicio de la función legislativa ni crear un poder de veto legislativo en cabeza del Ministro de Hacienda.</w:t>
      </w:r>
    </w:p>
    <w:p w:rsidR="009F0B88" w:rsidRDefault="009F0B88">
      <w:pPr>
        <w:pBdr>
          <w:top w:val="none" w:sz="0" w:space="0" w:color="000000"/>
          <w:left w:val="none" w:sz="0" w:space="0" w:color="000000"/>
          <w:bottom w:val="none" w:sz="0" w:space="0" w:color="000000"/>
          <w:right w:val="none" w:sz="0" w:space="0" w:color="000000"/>
          <w:between w:val="none" w:sz="0" w:space="0" w:color="000000"/>
        </w:pBdr>
        <w:spacing w:line="276" w:lineRule="auto"/>
        <w:jc w:val="both"/>
        <w:rPr>
          <w:rFonts w:ascii="Arial Narrow" w:eastAsia="Arial Narrow" w:hAnsi="Arial Narrow" w:cs="Arial Narrow"/>
          <w:b/>
          <w:sz w:val="22"/>
          <w:szCs w:val="22"/>
        </w:rPr>
      </w:pPr>
    </w:p>
    <w:p w:rsidR="009F0B88" w:rsidRDefault="00B90476">
      <w:pPr>
        <w:keepNext/>
        <w:keepLines/>
        <w:pBdr>
          <w:top w:val="nil"/>
          <w:left w:val="nil"/>
          <w:bottom w:val="nil"/>
          <w:right w:val="nil"/>
          <w:between w:val="nil"/>
        </w:pBdr>
        <w:tabs>
          <w:tab w:val="left" w:pos="284"/>
        </w:tabs>
        <w:spacing w:line="276" w:lineRule="auto"/>
        <w:jc w:val="both"/>
        <w:rPr>
          <w:rFonts w:ascii="Arial Narrow" w:eastAsia="Arial Narrow" w:hAnsi="Arial Narrow" w:cs="Arial Narrow"/>
          <w:b/>
          <w:color w:val="000000"/>
          <w:sz w:val="22"/>
          <w:szCs w:val="22"/>
        </w:rPr>
      </w:pPr>
      <w:r>
        <w:rPr>
          <w:rFonts w:ascii="Arial Narrow" w:eastAsia="Arial Narrow" w:hAnsi="Arial Narrow" w:cs="Arial Narrow"/>
          <w:b/>
          <w:sz w:val="22"/>
          <w:szCs w:val="22"/>
        </w:rPr>
        <w:t>9. CONCLUSIÓN</w:t>
      </w:r>
    </w:p>
    <w:p w:rsidR="009F0B88" w:rsidRDefault="009F0B88">
      <w:pPr>
        <w:spacing w:line="276" w:lineRule="auto"/>
        <w:jc w:val="both"/>
        <w:rPr>
          <w:rFonts w:ascii="Arial Narrow" w:eastAsia="Arial Narrow" w:hAnsi="Arial Narrow" w:cs="Arial Narrow"/>
          <w:sz w:val="22"/>
          <w:szCs w:val="22"/>
        </w:rPr>
      </w:pPr>
    </w:p>
    <w:p w:rsidR="009F0B88" w:rsidRDefault="00B90476">
      <w:pPr>
        <w:spacing w:line="276" w:lineRule="auto"/>
        <w:jc w:val="both"/>
        <w:rPr>
          <w:rFonts w:ascii="Arial Narrow" w:eastAsia="Arial Narrow" w:hAnsi="Arial Narrow" w:cs="Arial Narrow"/>
          <w:sz w:val="22"/>
          <w:szCs w:val="22"/>
        </w:rPr>
      </w:pPr>
      <w:r>
        <w:rPr>
          <w:rFonts w:ascii="Arial Narrow" w:eastAsia="Arial Narrow" w:hAnsi="Arial Narrow" w:cs="Arial Narrow"/>
          <w:sz w:val="22"/>
          <w:szCs w:val="22"/>
        </w:rPr>
        <w:t xml:space="preserve">Conforme a los anteriores argumentos, </w:t>
      </w:r>
      <w:r>
        <w:rPr>
          <w:rFonts w:ascii="Arial Narrow" w:eastAsia="Arial Narrow" w:hAnsi="Arial Narrow" w:cs="Arial Narrow"/>
          <w:b/>
          <w:sz w:val="22"/>
          <w:szCs w:val="22"/>
        </w:rPr>
        <w:t xml:space="preserve">PRESENTAMOS PONENCIA POSITIVA CON MODIFICACIONES </w:t>
      </w:r>
      <w:r>
        <w:rPr>
          <w:rFonts w:ascii="Arial Narrow" w:eastAsia="Arial Narrow" w:hAnsi="Arial Narrow" w:cs="Arial Narrow"/>
          <w:sz w:val="22"/>
          <w:szCs w:val="22"/>
        </w:rPr>
        <w:t xml:space="preserve">al proyecto de acuerdo Nº </w:t>
      </w:r>
      <w:proofErr w:type="gramStart"/>
      <w:r>
        <w:rPr>
          <w:rFonts w:ascii="Arial Narrow" w:eastAsia="Arial Narrow" w:hAnsi="Arial Narrow" w:cs="Arial Narrow"/>
          <w:sz w:val="22"/>
          <w:szCs w:val="22"/>
        </w:rPr>
        <w:t>240  de</w:t>
      </w:r>
      <w:proofErr w:type="gramEnd"/>
      <w:r>
        <w:rPr>
          <w:rFonts w:ascii="Arial Narrow" w:eastAsia="Arial Narrow" w:hAnsi="Arial Narrow" w:cs="Arial Narrow"/>
          <w:sz w:val="22"/>
          <w:szCs w:val="22"/>
        </w:rPr>
        <w:t xml:space="preserve"> 2025 “</w:t>
      </w:r>
      <w:r>
        <w:rPr>
          <w:rFonts w:ascii="Arial Narrow" w:eastAsia="Arial Narrow" w:hAnsi="Arial Narrow" w:cs="Arial Narrow"/>
        </w:rPr>
        <w:t>Por medio del cual se establecen medidas para fortalecer las acciones en salud pública en establecimientos de preparación y consumo de alimentos en el distrito capital</w:t>
      </w:r>
      <w:r>
        <w:rPr>
          <w:rFonts w:ascii="Arial Narrow" w:eastAsia="Arial Narrow" w:hAnsi="Arial Narrow" w:cs="Arial Narrow"/>
          <w:sz w:val="22"/>
          <w:szCs w:val="22"/>
        </w:rPr>
        <w:t>”.</w:t>
      </w:r>
    </w:p>
    <w:p w:rsidR="009F0B88" w:rsidRDefault="009F0B88">
      <w:pPr>
        <w:spacing w:line="276" w:lineRule="auto"/>
        <w:jc w:val="both"/>
        <w:rPr>
          <w:rFonts w:ascii="Arial Narrow" w:eastAsia="Arial Narrow" w:hAnsi="Arial Narrow" w:cs="Arial Narrow"/>
          <w:sz w:val="22"/>
          <w:szCs w:val="22"/>
        </w:rPr>
      </w:pPr>
    </w:p>
    <w:p w:rsidR="009F0B88" w:rsidRDefault="009F0B88">
      <w:pPr>
        <w:spacing w:line="276" w:lineRule="auto"/>
        <w:jc w:val="center"/>
        <w:rPr>
          <w:rFonts w:ascii="Arial Narrow" w:eastAsia="Arial Narrow" w:hAnsi="Arial Narrow" w:cs="Arial Narrow"/>
          <w:sz w:val="22"/>
          <w:szCs w:val="22"/>
        </w:rPr>
      </w:pPr>
    </w:p>
    <w:p w:rsidR="009F0B88" w:rsidRDefault="00B90476">
      <w:pPr>
        <w:spacing w:line="276" w:lineRule="auto"/>
        <w:jc w:val="both"/>
        <w:rPr>
          <w:rFonts w:ascii="Arial Narrow" w:eastAsia="Arial Narrow" w:hAnsi="Arial Narrow" w:cs="Arial Narrow"/>
          <w:sz w:val="22"/>
          <w:szCs w:val="22"/>
        </w:rPr>
      </w:pPr>
      <w:r>
        <w:rPr>
          <w:rFonts w:ascii="Arial Narrow" w:eastAsia="Arial Narrow" w:hAnsi="Arial Narrow" w:cs="Arial Narrow"/>
          <w:sz w:val="22"/>
          <w:szCs w:val="22"/>
        </w:rPr>
        <w:t xml:space="preserve">Atentamente, </w:t>
      </w:r>
    </w:p>
    <w:p w:rsidR="009F0B88" w:rsidRDefault="009F0B88">
      <w:pPr>
        <w:spacing w:line="276" w:lineRule="auto"/>
        <w:jc w:val="both"/>
        <w:rPr>
          <w:rFonts w:ascii="Arial Narrow" w:eastAsia="Arial Narrow" w:hAnsi="Arial Narrow" w:cs="Arial Narrow"/>
          <w:b/>
          <w:sz w:val="22"/>
          <w:szCs w:val="22"/>
        </w:rPr>
      </w:pPr>
    </w:p>
    <w:p w:rsidR="009F0B88" w:rsidRDefault="009F0B88">
      <w:pPr>
        <w:spacing w:line="276" w:lineRule="auto"/>
        <w:jc w:val="both"/>
        <w:rPr>
          <w:rFonts w:ascii="Arial Narrow" w:eastAsia="Arial Narrow" w:hAnsi="Arial Narrow" w:cs="Arial Narrow"/>
          <w:b/>
          <w:sz w:val="22"/>
          <w:szCs w:val="22"/>
        </w:rPr>
      </w:pPr>
    </w:p>
    <w:p w:rsidR="009F0B88" w:rsidRDefault="009F0B88">
      <w:pPr>
        <w:spacing w:line="276" w:lineRule="auto"/>
        <w:jc w:val="both"/>
        <w:rPr>
          <w:rFonts w:ascii="Arial Narrow" w:eastAsia="Arial Narrow" w:hAnsi="Arial Narrow" w:cs="Arial Narrow"/>
          <w:b/>
          <w:sz w:val="22"/>
          <w:szCs w:val="22"/>
        </w:rPr>
      </w:pPr>
    </w:p>
    <w:p w:rsidR="009F0B88" w:rsidRDefault="00B90476">
      <w:pPr>
        <w:spacing w:line="276" w:lineRule="auto"/>
        <w:jc w:val="both"/>
        <w:rPr>
          <w:rFonts w:ascii="Arial Narrow" w:eastAsia="Arial Narrow" w:hAnsi="Arial Narrow" w:cs="Arial Narrow"/>
          <w:b/>
          <w:sz w:val="22"/>
          <w:szCs w:val="22"/>
        </w:rPr>
      </w:pPr>
      <w:r>
        <w:rPr>
          <w:rFonts w:ascii="Arial Narrow" w:eastAsia="Arial Narrow" w:hAnsi="Arial Narrow" w:cs="Arial Narrow"/>
          <w:b/>
        </w:rPr>
        <w:t>FERNANDO LÓPEZ GUTIÉRREZ</w:t>
      </w:r>
      <w:r>
        <w:rPr>
          <w:rFonts w:ascii="Arial Narrow" w:eastAsia="Arial Narrow" w:hAnsi="Arial Narrow" w:cs="Arial Narrow"/>
          <w:b/>
          <w:sz w:val="22"/>
          <w:szCs w:val="22"/>
        </w:rPr>
        <w:tab/>
      </w:r>
      <w:r>
        <w:rPr>
          <w:rFonts w:ascii="Arial Narrow" w:eastAsia="Arial Narrow" w:hAnsi="Arial Narrow" w:cs="Arial Narrow"/>
          <w:b/>
          <w:sz w:val="22"/>
          <w:szCs w:val="22"/>
        </w:rPr>
        <w:tab/>
      </w:r>
      <w:r>
        <w:rPr>
          <w:rFonts w:ascii="Arial Narrow" w:eastAsia="Arial Narrow" w:hAnsi="Arial Narrow" w:cs="Arial Narrow"/>
          <w:b/>
          <w:sz w:val="22"/>
          <w:szCs w:val="22"/>
        </w:rPr>
        <w:tab/>
        <w:t>SAMIR BEDOYA PIRAQUIVE</w:t>
      </w:r>
    </w:p>
    <w:p w:rsidR="009F0B88" w:rsidRDefault="00B90476">
      <w:pPr>
        <w:spacing w:line="276" w:lineRule="auto"/>
        <w:jc w:val="both"/>
        <w:rPr>
          <w:rFonts w:ascii="Arial Narrow" w:eastAsia="Arial Narrow" w:hAnsi="Arial Narrow" w:cs="Arial Narrow"/>
          <w:sz w:val="22"/>
          <w:szCs w:val="22"/>
        </w:rPr>
      </w:pPr>
      <w:r>
        <w:rPr>
          <w:rFonts w:ascii="Arial Narrow" w:eastAsia="Arial Narrow" w:hAnsi="Arial Narrow" w:cs="Arial Narrow"/>
          <w:sz w:val="22"/>
          <w:szCs w:val="22"/>
        </w:rPr>
        <w:t>Concejal de Bogotá</w:t>
      </w:r>
      <w:r>
        <w:rPr>
          <w:rFonts w:ascii="Arial Narrow" w:eastAsia="Arial Narrow" w:hAnsi="Arial Narrow" w:cs="Arial Narrow"/>
          <w:sz w:val="22"/>
          <w:szCs w:val="22"/>
        </w:rPr>
        <w:tab/>
      </w:r>
      <w:r>
        <w:rPr>
          <w:rFonts w:ascii="Arial Narrow" w:eastAsia="Arial Narrow" w:hAnsi="Arial Narrow" w:cs="Arial Narrow"/>
          <w:sz w:val="22"/>
          <w:szCs w:val="22"/>
        </w:rPr>
        <w:tab/>
      </w:r>
      <w:r>
        <w:rPr>
          <w:rFonts w:ascii="Arial Narrow" w:eastAsia="Arial Narrow" w:hAnsi="Arial Narrow" w:cs="Arial Narrow"/>
          <w:sz w:val="22"/>
          <w:szCs w:val="22"/>
        </w:rPr>
        <w:tab/>
      </w:r>
      <w:r>
        <w:rPr>
          <w:rFonts w:ascii="Arial Narrow" w:eastAsia="Arial Narrow" w:hAnsi="Arial Narrow" w:cs="Arial Narrow"/>
          <w:sz w:val="22"/>
          <w:szCs w:val="22"/>
        </w:rPr>
        <w:tab/>
      </w:r>
      <w:r>
        <w:rPr>
          <w:rFonts w:ascii="Arial Narrow" w:eastAsia="Arial Narrow" w:hAnsi="Arial Narrow" w:cs="Arial Narrow"/>
          <w:sz w:val="22"/>
          <w:szCs w:val="22"/>
        </w:rPr>
        <w:tab/>
        <w:t>Concejal de Bogotá</w:t>
      </w:r>
    </w:p>
    <w:p w:rsidR="009F0B88" w:rsidRDefault="00B90476">
      <w:pPr>
        <w:spacing w:line="276" w:lineRule="auto"/>
        <w:jc w:val="both"/>
        <w:rPr>
          <w:rFonts w:ascii="Arial Narrow" w:eastAsia="Arial Narrow" w:hAnsi="Arial Narrow" w:cs="Arial Narrow"/>
          <w:sz w:val="22"/>
          <w:szCs w:val="22"/>
        </w:rPr>
      </w:pPr>
      <w:r>
        <w:rPr>
          <w:rFonts w:ascii="Arial Narrow" w:eastAsia="Arial Narrow" w:hAnsi="Arial Narrow" w:cs="Arial Narrow"/>
        </w:rPr>
        <w:t>Partido Nuevo liberalismo</w:t>
      </w:r>
      <w:r>
        <w:rPr>
          <w:rFonts w:ascii="Arial Narrow" w:eastAsia="Arial Narrow" w:hAnsi="Arial Narrow" w:cs="Arial Narrow"/>
          <w:sz w:val="22"/>
          <w:szCs w:val="22"/>
        </w:rPr>
        <w:tab/>
      </w:r>
      <w:r>
        <w:rPr>
          <w:rFonts w:ascii="Arial Narrow" w:eastAsia="Arial Narrow" w:hAnsi="Arial Narrow" w:cs="Arial Narrow"/>
          <w:sz w:val="22"/>
          <w:szCs w:val="22"/>
        </w:rPr>
        <w:tab/>
      </w:r>
      <w:r>
        <w:rPr>
          <w:rFonts w:ascii="Arial Narrow" w:eastAsia="Arial Narrow" w:hAnsi="Arial Narrow" w:cs="Arial Narrow"/>
          <w:sz w:val="22"/>
          <w:szCs w:val="22"/>
        </w:rPr>
        <w:tab/>
      </w:r>
      <w:r>
        <w:rPr>
          <w:rFonts w:ascii="Arial Narrow" w:eastAsia="Arial Narrow" w:hAnsi="Arial Narrow" w:cs="Arial Narrow"/>
          <w:sz w:val="22"/>
          <w:szCs w:val="22"/>
        </w:rPr>
        <w:tab/>
        <w:t>Partido Político MIRA</w:t>
      </w:r>
    </w:p>
    <w:p w:rsidR="009F0B88" w:rsidRDefault="00B90476">
      <w:pPr>
        <w:spacing w:line="276" w:lineRule="auto"/>
        <w:jc w:val="both"/>
        <w:rPr>
          <w:rFonts w:ascii="Arial Narrow" w:eastAsia="Arial Narrow" w:hAnsi="Arial Narrow" w:cs="Arial Narrow"/>
          <w:sz w:val="22"/>
          <w:szCs w:val="22"/>
        </w:rPr>
      </w:pPr>
      <w:r>
        <w:rPr>
          <w:rFonts w:ascii="Arial Narrow" w:eastAsia="Arial Narrow" w:hAnsi="Arial Narrow" w:cs="Arial Narrow"/>
          <w:sz w:val="22"/>
          <w:szCs w:val="22"/>
        </w:rPr>
        <w:t>Coordinador Ponente</w:t>
      </w:r>
      <w:r>
        <w:rPr>
          <w:rFonts w:ascii="Arial Narrow" w:eastAsia="Arial Narrow" w:hAnsi="Arial Narrow" w:cs="Arial Narrow"/>
          <w:sz w:val="22"/>
          <w:szCs w:val="22"/>
        </w:rPr>
        <w:tab/>
      </w:r>
      <w:r>
        <w:rPr>
          <w:rFonts w:ascii="Arial Narrow" w:eastAsia="Arial Narrow" w:hAnsi="Arial Narrow" w:cs="Arial Narrow"/>
          <w:sz w:val="22"/>
          <w:szCs w:val="22"/>
        </w:rPr>
        <w:tab/>
      </w:r>
      <w:r>
        <w:rPr>
          <w:rFonts w:ascii="Arial Narrow" w:eastAsia="Arial Narrow" w:hAnsi="Arial Narrow" w:cs="Arial Narrow"/>
          <w:sz w:val="22"/>
          <w:szCs w:val="22"/>
        </w:rPr>
        <w:tab/>
      </w:r>
      <w:r>
        <w:rPr>
          <w:rFonts w:ascii="Arial Narrow" w:eastAsia="Arial Narrow" w:hAnsi="Arial Narrow" w:cs="Arial Narrow"/>
          <w:sz w:val="22"/>
          <w:szCs w:val="22"/>
        </w:rPr>
        <w:tab/>
      </w:r>
      <w:r>
        <w:rPr>
          <w:rFonts w:ascii="Arial Narrow" w:eastAsia="Arial Narrow" w:hAnsi="Arial Narrow" w:cs="Arial Narrow"/>
          <w:sz w:val="22"/>
          <w:szCs w:val="22"/>
        </w:rPr>
        <w:tab/>
      </w:r>
      <w:proofErr w:type="spellStart"/>
      <w:r>
        <w:rPr>
          <w:rFonts w:ascii="Arial Narrow" w:eastAsia="Arial Narrow" w:hAnsi="Arial Narrow" w:cs="Arial Narrow"/>
          <w:sz w:val="22"/>
          <w:szCs w:val="22"/>
        </w:rPr>
        <w:t>Ponente</w:t>
      </w:r>
      <w:proofErr w:type="spellEnd"/>
    </w:p>
    <w:p w:rsidR="009F0B88" w:rsidRDefault="009F0B88">
      <w:pPr>
        <w:rPr>
          <w:rFonts w:ascii="Arial Narrow" w:eastAsia="Arial Narrow" w:hAnsi="Arial Narrow" w:cs="Arial Narrow"/>
          <w:b/>
          <w:sz w:val="22"/>
          <w:szCs w:val="22"/>
        </w:rPr>
      </w:pPr>
    </w:p>
    <w:p w:rsidR="009F0B88" w:rsidRDefault="009F0B88">
      <w:pPr>
        <w:widowControl w:val="0"/>
        <w:jc w:val="center"/>
        <w:rPr>
          <w:rFonts w:ascii="Arial Narrow" w:eastAsia="Arial Narrow" w:hAnsi="Arial Narrow" w:cs="Arial Narrow"/>
          <w:b/>
          <w:sz w:val="22"/>
          <w:szCs w:val="22"/>
          <w:highlight w:val="white"/>
        </w:rPr>
      </w:pPr>
    </w:p>
    <w:p w:rsidR="009F0B88" w:rsidRDefault="009F0B88">
      <w:pPr>
        <w:widowControl w:val="0"/>
        <w:jc w:val="center"/>
        <w:rPr>
          <w:rFonts w:ascii="Arial Narrow" w:eastAsia="Arial Narrow" w:hAnsi="Arial Narrow" w:cs="Arial Narrow"/>
          <w:b/>
          <w:sz w:val="22"/>
          <w:szCs w:val="22"/>
          <w:highlight w:val="white"/>
        </w:rPr>
      </w:pPr>
    </w:p>
    <w:p w:rsidR="009F0B88" w:rsidRDefault="009F0B88">
      <w:pPr>
        <w:widowControl w:val="0"/>
        <w:rPr>
          <w:rFonts w:ascii="Arial Narrow" w:eastAsia="Arial Narrow" w:hAnsi="Arial Narrow" w:cs="Arial Narrow"/>
          <w:b/>
          <w:sz w:val="22"/>
          <w:szCs w:val="22"/>
          <w:highlight w:val="white"/>
        </w:rPr>
      </w:pPr>
    </w:p>
    <w:p w:rsidR="009F0B88" w:rsidRDefault="00B90476">
      <w:pPr>
        <w:widowControl w:val="0"/>
        <w:jc w:val="center"/>
        <w:rPr>
          <w:rFonts w:ascii="Arial Narrow" w:eastAsia="Arial Narrow" w:hAnsi="Arial Narrow" w:cs="Arial Narrow"/>
          <w:b/>
          <w:sz w:val="22"/>
          <w:szCs w:val="22"/>
        </w:rPr>
      </w:pPr>
      <w:r>
        <w:rPr>
          <w:rFonts w:ascii="Arial Narrow" w:eastAsia="Arial Narrow" w:hAnsi="Arial Narrow" w:cs="Arial Narrow"/>
          <w:b/>
          <w:sz w:val="22"/>
          <w:szCs w:val="22"/>
          <w:highlight w:val="white"/>
        </w:rPr>
        <w:t>PROYECTO DE ACUERDO 240 DE 20</w:t>
      </w:r>
      <w:r>
        <w:rPr>
          <w:rFonts w:ascii="Arial Narrow" w:eastAsia="Arial Narrow" w:hAnsi="Arial Narrow" w:cs="Arial Narrow"/>
          <w:b/>
          <w:sz w:val="22"/>
          <w:szCs w:val="22"/>
        </w:rPr>
        <w:t>25</w:t>
      </w:r>
    </w:p>
    <w:p w:rsidR="009F0B88" w:rsidRDefault="009F0B88">
      <w:pPr>
        <w:jc w:val="both"/>
        <w:rPr>
          <w:rFonts w:ascii="Arial Narrow" w:eastAsia="Arial Narrow" w:hAnsi="Arial Narrow" w:cs="Arial Narrow"/>
          <w:b/>
          <w:sz w:val="22"/>
          <w:szCs w:val="22"/>
        </w:rPr>
      </w:pPr>
    </w:p>
    <w:p w:rsidR="009F0B88" w:rsidRDefault="00B90476">
      <w:pPr>
        <w:jc w:val="center"/>
        <w:rPr>
          <w:rFonts w:ascii="Arial Narrow" w:eastAsia="Arial Narrow" w:hAnsi="Arial Narrow" w:cs="Arial Narrow"/>
          <w:b/>
          <w:sz w:val="22"/>
          <w:szCs w:val="22"/>
        </w:rPr>
      </w:pPr>
      <w:r>
        <w:rPr>
          <w:rFonts w:ascii="Arial Narrow" w:eastAsia="Arial Narrow" w:hAnsi="Arial Narrow" w:cs="Arial Narrow"/>
          <w:b/>
          <w:sz w:val="22"/>
          <w:szCs w:val="22"/>
        </w:rPr>
        <w:t>“POR MEDIO DEL CUAL SE ESTABLECEN LINEAMIENTOS PARA FORTALECER LAS ACCIONES EN SALUD PÚBLICA EN ESTABLECIMIENTOS DE PREPARACIÓN Y CONSUMO DE ALIMENTOS EN EL DISTRITO CAPITAL”</w:t>
      </w:r>
      <w:r>
        <w:rPr>
          <w:rFonts w:ascii="Arial Narrow" w:eastAsia="Arial Narrow" w:hAnsi="Arial Narrow" w:cs="Arial Narrow"/>
          <w:b/>
          <w:sz w:val="22"/>
          <w:szCs w:val="22"/>
        </w:rPr>
        <w:br/>
      </w:r>
    </w:p>
    <w:p w:rsidR="009F0B88" w:rsidRDefault="009F0B88">
      <w:pPr>
        <w:rPr>
          <w:rFonts w:ascii="Arial Narrow" w:eastAsia="Arial Narrow" w:hAnsi="Arial Narrow" w:cs="Arial Narrow"/>
          <w:b/>
          <w:sz w:val="22"/>
          <w:szCs w:val="22"/>
        </w:rPr>
      </w:pPr>
    </w:p>
    <w:p w:rsidR="009F0B88" w:rsidRDefault="00B90476">
      <w:pPr>
        <w:widowControl w:val="0"/>
        <w:jc w:val="center"/>
        <w:rPr>
          <w:rFonts w:ascii="Arial Narrow" w:eastAsia="Arial Narrow" w:hAnsi="Arial Narrow" w:cs="Arial Narrow"/>
          <w:b/>
          <w:sz w:val="22"/>
          <w:szCs w:val="22"/>
        </w:rPr>
      </w:pPr>
      <w:r>
        <w:rPr>
          <w:rFonts w:ascii="Arial Narrow" w:eastAsia="Arial Narrow" w:hAnsi="Arial Narrow" w:cs="Arial Narrow"/>
          <w:b/>
          <w:sz w:val="22"/>
          <w:szCs w:val="22"/>
        </w:rPr>
        <w:t>EL CONCEJO DE BOGOTÁ D.C.</w:t>
      </w:r>
    </w:p>
    <w:p w:rsidR="009F0B88" w:rsidRDefault="009F0B88">
      <w:pPr>
        <w:widowControl w:val="0"/>
        <w:jc w:val="center"/>
        <w:rPr>
          <w:rFonts w:ascii="Arial Narrow" w:eastAsia="Arial Narrow" w:hAnsi="Arial Narrow" w:cs="Arial Narrow"/>
          <w:b/>
          <w:sz w:val="22"/>
          <w:szCs w:val="22"/>
        </w:rPr>
      </w:pPr>
    </w:p>
    <w:p w:rsidR="009F0B88" w:rsidRDefault="00B90476">
      <w:pPr>
        <w:ind w:right="245"/>
        <w:jc w:val="both"/>
        <w:rPr>
          <w:rFonts w:ascii="Arial Narrow" w:eastAsia="Arial Narrow" w:hAnsi="Arial Narrow" w:cs="Arial Narrow"/>
          <w:sz w:val="22"/>
          <w:szCs w:val="22"/>
        </w:rPr>
      </w:pPr>
      <w:r>
        <w:rPr>
          <w:rFonts w:ascii="Arial Narrow" w:eastAsia="Arial Narrow" w:hAnsi="Arial Narrow" w:cs="Arial Narrow"/>
          <w:sz w:val="22"/>
          <w:szCs w:val="22"/>
        </w:rPr>
        <w:lastRenderedPageBreak/>
        <w:t xml:space="preserve">En ejercicio de sus atribuciones constitucionales y legales, en especial de las que le confiere el numeral 1o del artículo 12 del Decreto – Ley 1421 de 1993 </w:t>
      </w:r>
    </w:p>
    <w:p w:rsidR="009F0B88" w:rsidRDefault="009F0B88">
      <w:pPr>
        <w:widowControl w:val="0"/>
        <w:ind w:right="245"/>
        <w:jc w:val="both"/>
        <w:rPr>
          <w:rFonts w:ascii="Arial Narrow" w:eastAsia="Arial Narrow" w:hAnsi="Arial Narrow" w:cs="Arial Narrow"/>
          <w:sz w:val="22"/>
          <w:szCs w:val="22"/>
        </w:rPr>
      </w:pPr>
    </w:p>
    <w:p w:rsidR="009F0B88" w:rsidRDefault="00B90476">
      <w:pPr>
        <w:widowControl w:val="0"/>
        <w:ind w:left="3788"/>
        <w:jc w:val="both"/>
        <w:rPr>
          <w:rFonts w:ascii="Arial Narrow" w:eastAsia="Arial Narrow" w:hAnsi="Arial Narrow" w:cs="Arial Narrow"/>
          <w:b/>
          <w:sz w:val="22"/>
          <w:szCs w:val="22"/>
        </w:rPr>
      </w:pPr>
      <w:r>
        <w:rPr>
          <w:rFonts w:ascii="Arial Narrow" w:eastAsia="Arial Narrow" w:hAnsi="Arial Narrow" w:cs="Arial Narrow"/>
          <w:b/>
          <w:sz w:val="22"/>
          <w:szCs w:val="22"/>
        </w:rPr>
        <w:t xml:space="preserve">ACUERDA: </w:t>
      </w:r>
    </w:p>
    <w:p w:rsidR="009F0B88" w:rsidRDefault="009F0B88">
      <w:pPr>
        <w:widowControl w:val="0"/>
        <w:ind w:left="3788"/>
        <w:jc w:val="both"/>
        <w:rPr>
          <w:rFonts w:ascii="Arial Narrow" w:eastAsia="Arial Narrow" w:hAnsi="Arial Narrow" w:cs="Arial Narrow"/>
          <w:b/>
          <w:sz w:val="22"/>
          <w:szCs w:val="22"/>
        </w:rPr>
      </w:pPr>
    </w:p>
    <w:p w:rsidR="009F0B88" w:rsidRDefault="00B90476">
      <w:pPr>
        <w:widowControl w:val="0"/>
        <w:ind w:right="23"/>
        <w:jc w:val="both"/>
        <w:rPr>
          <w:rFonts w:ascii="Arial Narrow" w:eastAsia="Arial Narrow" w:hAnsi="Arial Narrow" w:cs="Arial Narrow"/>
          <w:sz w:val="22"/>
          <w:szCs w:val="22"/>
        </w:rPr>
      </w:pPr>
      <w:r>
        <w:rPr>
          <w:rFonts w:ascii="Arial Narrow" w:eastAsia="Arial Narrow" w:hAnsi="Arial Narrow" w:cs="Arial Narrow"/>
          <w:b/>
          <w:sz w:val="22"/>
          <w:szCs w:val="22"/>
        </w:rPr>
        <w:t xml:space="preserve">ARTÍCULO 1.  </w:t>
      </w:r>
      <w:r>
        <w:rPr>
          <w:rFonts w:ascii="Arial Narrow" w:eastAsia="Arial Narrow" w:hAnsi="Arial Narrow" w:cs="Arial Narrow"/>
          <w:sz w:val="22"/>
          <w:szCs w:val="22"/>
        </w:rPr>
        <w:t>La administración Distrital en cabeza de</w:t>
      </w:r>
      <w:r>
        <w:rPr>
          <w:rFonts w:ascii="Arial Narrow" w:eastAsia="Arial Narrow" w:hAnsi="Arial Narrow" w:cs="Arial Narrow"/>
          <w:b/>
          <w:sz w:val="22"/>
          <w:szCs w:val="22"/>
        </w:rPr>
        <w:t xml:space="preserve"> </w:t>
      </w:r>
      <w:r>
        <w:rPr>
          <w:rFonts w:ascii="Arial Narrow" w:eastAsia="Arial Narrow" w:hAnsi="Arial Narrow" w:cs="Arial Narrow"/>
          <w:sz w:val="22"/>
          <w:szCs w:val="22"/>
        </w:rPr>
        <w:t>La Secretaría Distrital de Salud y las Alcaldías Locales promoverá las medidas necesarias para incorporar, dentro del aplicativo o plataforma de consulta de Conceptos Sanitarios, los conceptos emitidos para establecimientos dedicados a la preparación y consumo de alimentos.</w:t>
      </w:r>
    </w:p>
    <w:p w:rsidR="009F0B88" w:rsidRDefault="009F0B88">
      <w:pPr>
        <w:widowControl w:val="0"/>
        <w:ind w:right="23"/>
        <w:jc w:val="both"/>
        <w:rPr>
          <w:rFonts w:ascii="Arial Narrow" w:eastAsia="Arial Narrow" w:hAnsi="Arial Narrow" w:cs="Arial Narrow"/>
          <w:sz w:val="22"/>
          <w:szCs w:val="22"/>
        </w:rPr>
      </w:pPr>
    </w:p>
    <w:p w:rsidR="009F0B88" w:rsidRDefault="00B90476">
      <w:pPr>
        <w:widowControl w:val="0"/>
        <w:ind w:right="23"/>
        <w:jc w:val="both"/>
        <w:rPr>
          <w:rFonts w:ascii="Arial Narrow" w:eastAsia="Arial Narrow" w:hAnsi="Arial Narrow" w:cs="Arial Narrow"/>
          <w:b/>
          <w:sz w:val="22"/>
          <w:szCs w:val="22"/>
        </w:rPr>
      </w:pPr>
      <w:r>
        <w:rPr>
          <w:rFonts w:ascii="Arial Narrow" w:eastAsia="Arial Narrow" w:hAnsi="Arial Narrow" w:cs="Arial Narrow"/>
          <w:b/>
          <w:sz w:val="22"/>
          <w:szCs w:val="22"/>
        </w:rPr>
        <w:t xml:space="preserve">ARTÍCULO 2. </w:t>
      </w:r>
      <w:r>
        <w:rPr>
          <w:rFonts w:ascii="Arial Narrow" w:eastAsia="Arial Narrow" w:hAnsi="Arial Narrow" w:cs="Arial Narrow"/>
          <w:sz w:val="22"/>
          <w:szCs w:val="22"/>
        </w:rPr>
        <w:t>La administración Distrital en cabeza de La Secretaría Distrital de Salud y las Alcaldías Locales propenderá por habilitar canales para que los ciudadanos puedan denunciar y reportar a la entidad aquellos establecimientos que representen potenciales riesgos sanitarios, con el fin de dar inicio a los procesos correspondientes de inspección, vigilancia y control.</w:t>
      </w:r>
    </w:p>
    <w:p w:rsidR="009F0B88" w:rsidRDefault="009F0B88">
      <w:pPr>
        <w:widowControl w:val="0"/>
        <w:ind w:right="23"/>
        <w:jc w:val="both"/>
        <w:rPr>
          <w:rFonts w:ascii="Arial Narrow" w:eastAsia="Arial Narrow" w:hAnsi="Arial Narrow" w:cs="Arial Narrow"/>
          <w:b/>
          <w:sz w:val="22"/>
          <w:szCs w:val="22"/>
        </w:rPr>
      </w:pPr>
    </w:p>
    <w:p w:rsidR="009F0B88" w:rsidRDefault="00B90476">
      <w:pPr>
        <w:widowControl w:val="0"/>
        <w:ind w:right="23"/>
        <w:jc w:val="both"/>
        <w:rPr>
          <w:rFonts w:ascii="Arial Narrow" w:eastAsia="Arial Narrow" w:hAnsi="Arial Narrow" w:cs="Arial Narrow"/>
          <w:sz w:val="22"/>
          <w:szCs w:val="22"/>
        </w:rPr>
      </w:pPr>
      <w:r>
        <w:rPr>
          <w:rFonts w:ascii="Arial Narrow" w:eastAsia="Arial Narrow" w:hAnsi="Arial Narrow" w:cs="Arial Narrow"/>
          <w:b/>
          <w:sz w:val="22"/>
          <w:szCs w:val="22"/>
        </w:rPr>
        <w:t xml:space="preserve">ARTÍCULO 3. </w:t>
      </w:r>
      <w:r>
        <w:rPr>
          <w:rFonts w:ascii="Arial Narrow" w:eastAsia="Arial Narrow" w:hAnsi="Arial Narrow" w:cs="Arial Narrow"/>
          <w:sz w:val="22"/>
          <w:szCs w:val="22"/>
        </w:rPr>
        <w:t>La administración Distrital en cabeza de la Secretaría Distrital de Salud y las Alcaldías Locales dirigirá sus esfuerzos a realizar campañas de sensibilización con los recursos que ya cuenta para que los proveedores y productores de bienes y servicios incluidos en este Acuerdo garanticen la seguridad sanitaria, cumpliendo con los requisitos sanitarios bajo estándares de calidad e inocuidad.</w:t>
      </w:r>
    </w:p>
    <w:p w:rsidR="009F0B88" w:rsidRDefault="00B90476">
      <w:pPr>
        <w:widowControl w:val="0"/>
        <w:spacing w:before="240" w:after="240"/>
        <w:jc w:val="both"/>
        <w:rPr>
          <w:rFonts w:ascii="Arial Narrow" w:eastAsia="Arial Narrow" w:hAnsi="Arial Narrow" w:cs="Arial Narrow"/>
          <w:sz w:val="22"/>
          <w:szCs w:val="22"/>
        </w:rPr>
      </w:pPr>
      <w:r>
        <w:rPr>
          <w:rFonts w:ascii="Arial Narrow" w:eastAsia="Arial Narrow" w:hAnsi="Arial Narrow" w:cs="Arial Narrow"/>
          <w:b/>
          <w:sz w:val="22"/>
          <w:szCs w:val="22"/>
        </w:rPr>
        <w:t xml:space="preserve">ARTÍCULO 4. </w:t>
      </w:r>
      <w:r>
        <w:rPr>
          <w:rFonts w:ascii="Arial Narrow" w:eastAsia="Arial Narrow" w:hAnsi="Arial Narrow" w:cs="Arial Narrow"/>
          <w:sz w:val="22"/>
          <w:szCs w:val="22"/>
        </w:rPr>
        <w:t>La Administración Distrital, a través de la Secretaría Distrital de Salud y la Secretaría Distrital de Gobierno, dictará los lineamientos para que las Alcaldías Locales promuevan la implementación de mecanismos integrales de seguimiento, evaluación y retroalimentación de las medidas adoptadas en virtud del presente Acuerdo:</w:t>
      </w:r>
    </w:p>
    <w:p w:rsidR="009F0B88" w:rsidRDefault="00B90476">
      <w:pPr>
        <w:widowControl w:val="0"/>
        <w:spacing w:before="240" w:after="240"/>
        <w:jc w:val="both"/>
        <w:rPr>
          <w:rFonts w:ascii="Arial Narrow" w:eastAsia="Arial Narrow" w:hAnsi="Arial Narrow" w:cs="Arial Narrow"/>
          <w:sz w:val="22"/>
          <w:szCs w:val="22"/>
        </w:rPr>
      </w:pPr>
      <w:r>
        <w:rPr>
          <w:rFonts w:ascii="Arial Narrow" w:eastAsia="Arial Narrow" w:hAnsi="Arial Narrow" w:cs="Arial Narrow"/>
          <w:sz w:val="22"/>
          <w:szCs w:val="22"/>
        </w:rPr>
        <w:t>a) La actualización periódica de los conceptos sanitarios publicados en la plataforma digital, garantizando su vigencia y adecuación a la normatividad vigente.</w:t>
      </w:r>
    </w:p>
    <w:p w:rsidR="009F0B88" w:rsidRDefault="00B90476">
      <w:pPr>
        <w:widowControl w:val="0"/>
        <w:spacing w:before="240" w:after="240"/>
        <w:jc w:val="both"/>
        <w:rPr>
          <w:rFonts w:ascii="Arial Narrow" w:eastAsia="Arial Narrow" w:hAnsi="Arial Narrow" w:cs="Arial Narrow"/>
          <w:sz w:val="22"/>
          <w:szCs w:val="22"/>
        </w:rPr>
      </w:pPr>
      <w:r>
        <w:rPr>
          <w:rFonts w:ascii="Arial Narrow" w:eastAsia="Arial Narrow" w:hAnsi="Arial Narrow" w:cs="Arial Narrow"/>
          <w:sz w:val="22"/>
          <w:szCs w:val="22"/>
        </w:rPr>
        <w:t>b) La atención y respuesta oportuna a las denuncias recibidas por los ciudadanos a través de los canales habilitados, estableciendo un sistema de gestión que permita identificar y, en su caso, sancionar o acompañar técnicamente a los establecimientos con potenciales riesgos sanitarios.</w:t>
      </w:r>
    </w:p>
    <w:p w:rsidR="009F0B88" w:rsidRDefault="00B90476">
      <w:pPr>
        <w:widowControl w:val="0"/>
        <w:spacing w:before="240" w:after="240"/>
        <w:jc w:val="both"/>
        <w:rPr>
          <w:rFonts w:ascii="Arial Narrow" w:eastAsia="Arial Narrow" w:hAnsi="Arial Narrow" w:cs="Arial Narrow"/>
          <w:sz w:val="22"/>
          <w:szCs w:val="22"/>
        </w:rPr>
      </w:pPr>
      <w:r>
        <w:rPr>
          <w:rFonts w:ascii="Arial Narrow" w:eastAsia="Arial Narrow" w:hAnsi="Arial Narrow" w:cs="Arial Narrow"/>
          <w:sz w:val="22"/>
          <w:szCs w:val="22"/>
        </w:rPr>
        <w:t>c) La elaboración y publicación de reportes periódicos de gestión y avances, que incluyan indicadores de desempeño y evaluaciones de las campañas de sensibilización, con el fin de fomentar la transparencia y la mejora continua de la gestión en salud pública en los establecimientos de preparación y consumo de alimentos.</w:t>
      </w:r>
    </w:p>
    <w:p w:rsidR="009F0B88" w:rsidRDefault="00B90476">
      <w:pPr>
        <w:widowControl w:val="0"/>
        <w:spacing w:before="240" w:after="240"/>
        <w:jc w:val="both"/>
        <w:rPr>
          <w:rFonts w:ascii="Arial Narrow" w:eastAsia="Arial Narrow" w:hAnsi="Arial Narrow" w:cs="Arial Narrow"/>
          <w:sz w:val="22"/>
          <w:szCs w:val="22"/>
        </w:rPr>
      </w:pPr>
      <w:r>
        <w:rPr>
          <w:rFonts w:ascii="Arial Narrow" w:eastAsia="Arial Narrow" w:hAnsi="Arial Narrow" w:cs="Arial Narrow"/>
          <w:b/>
          <w:sz w:val="22"/>
          <w:szCs w:val="22"/>
        </w:rPr>
        <w:t xml:space="preserve">ARTÍCULO 5 </w:t>
      </w:r>
      <w:r>
        <w:rPr>
          <w:rFonts w:ascii="Arial Narrow" w:eastAsia="Arial Narrow" w:hAnsi="Arial Narrow" w:cs="Arial Narrow"/>
          <w:sz w:val="22"/>
          <w:szCs w:val="22"/>
        </w:rPr>
        <w:t>La administración distrital en cabeza de la Secretaría Distrital de Salud y las Alcaldías Locales, propenderá por que los establecimientos dedicados a la preparación y consumo de alimentos garanticen que la información sanitaria relevante esté disponible y accesible para los consumidores en sus instalaciones. Esto incluirá, entre otros, la exhibición visible de los conceptos sanitarios emitidos por la Secretaría Distrital de Salud y cualquier otra información pertinente que contribuya a la toma de decisiones informadas por parte de los ciudadanos.</w:t>
      </w:r>
    </w:p>
    <w:p w:rsidR="009F0B88" w:rsidRDefault="00B90476">
      <w:pPr>
        <w:widowControl w:val="0"/>
        <w:spacing w:before="240" w:after="240"/>
        <w:jc w:val="both"/>
        <w:rPr>
          <w:rFonts w:ascii="Arial Narrow" w:eastAsia="Arial Narrow" w:hAnsi="Arial Narrow" w:cs="Arial Narrow"/>
          <w:sz w:val="22"/>
          <w:szCs w:val="22"/>
        </w:rPr>
      </w:pPr>
      <w:r>
        <w:rPr>
          <w:rFonts w:ascii="Arial Narrow" w:eastAsia="Arial Narrow" w:hAnsi="Arial Narrow" w:cs="Arial Narrow"/>
          <w:b/>
          <w:sz w:val="22"/>
          <w:szCs w:val="22"/>
        </w:rPr>
        <w:t xml:space="preserve">ARTÍCULO 6. </w:t>
      </w:r>
      <w:r>
        <w:rPr>
          <w:rFonts w:ascii="Arial Narrow" w:eastAsia="Arial Narrow" w:hAnsi="Arial Narrow" w:cs="Arial Narrow"/>
          <w:sz w:val="22"/>
          <w:szCs w:val="22"/>
        </w:rPr>
        <w:t>La administración distrital contará con un plazo máximo de 12 meses a partir de la entrada en vigor del presente Acuerdo para la implementación de las medidas aquí establecidas, garantizando su operatividad y cumplimiento efectivo.</w:t>
      </w:r>
    </w:p>
    <w:p w:rsidR="009F0B88" w:rsidRDefault="00B90476">
      <w:pPr>
        <w:ind w:right="23"/>
        <w:jc w:val="both"/>
        <w:rPr>
          <w:rFonts w:ascii="Arial Narrow" w:eastAsia="Arial Narrow" w:hAnsi="Arial Narrow" w:cs="Arial Narrow"/>
          <w:b/>
          <w:sz w:val="22"/>
          <w:szCs w:val="22"/>
        </w:rPr>
      </w:pPr>
      <w:r>
        <w:rPr>
          <w:rFonts w:ascii="Arial Narrow" w:eastAsia="Arial Narrow" w:hAnsi="Arial Narrow" w:cs="Arial Narrow"/>
          <w:b/>
          <w:sz w:val="22"/>
          <w:szCs w:val="22"/>
        </w:rPr>
        <w:t>ARTÍCULO  7</w:t>
      </w:r>
      <w:r>
        <w:rPr>
          <w:rFonts w:ascii="Arial Narrow" w:eastAsia="Arial Narrow" w:hAnsi="Arial Narrow" w:cs="Arial Narrow"/>
          <w:sz w:val="22"/>
          <w:szCs w:val="22"/>
        </w:rPr>
        <w:t xml:space="preserve">. </w:t>
      </w:r>
      <w:r>
        <w:rPr>
          <w:rFonts w:ascii="Arial Narrow" w:eastAsia="Arial Narrow" w:hAnsi="Arial Narrow" w:cs="Arial Narrow"/>
          <w:b/>
          <w:sz w:val="22"/>
          <w:szCs w:val="22"/>
        </w:rPr>
        <w:t>VIGENCIA</w:t>
      </w:r>
      <w:r>
        <w:rPr>
          <w:rFonts w:ascii="Arial Narrow" w:eastAsia="Arial Narrow" w:hAnsi="Arial Narrow" w:cs="Arial Narrow"/>
          <w:sz w:val="22"/>
          <w:szCs w:val="22"/>
        </w:rPr>
        <w:t>. El presente acuerdo rige a partir de la fecha de su publicación.</w:t>
      </w:r>
    </w:p>
    <w:p w:rsidR="009F0B88" w:rsidRDefault="009F0B88">
      <w:pPr>
        <w:spacing w:after="160" w:line="259" w:lineRule="auto"/>
        <w:jc w:val="both"/>
        <w:rPr>
          <w:rFonts w:ascii="Arial Narrow" w:eastAsia="Arial Narrow" w:hAnsi="Arial Narrow" w:cs="Arial Narrow"/>
          <w:b/>
          <w:sz w:val="22"/>
          <w:szCs w:val="22"/>
        </w:rPr>
      </w:pPr>
    </w:p>
    <w:p w:rsidR="009F0B88" w:rsidRDefault="00B90476">
      <w:pPr>
        <w:spacing w:line="276" w:lineRule="auto"/>
        <w:jc w:val="center"/>
        <w:rPr>
          <w:rFonts w:ascii="Arial Narrow" w:eastAsia="Arial Narrow" w:hAnsi="Arial Narrow" w:cs="Arial Narrow"/>
          <w:sz w:val="22"/>
          <w:szCs w:val="22"/>
        </w:rPr>
      </w:pPr>
      <w:r>
        <w:rPr>
          <w:rFonts w:ascii="Arial Narrow" w:eastAsia="Arial Narrow" w:hAnsi="Arial Narrow" w:cs="Arial Narrow"/>
          <w:sz w:val="22"/>
          <w:szCs w:val="22"/>
        </w:rPr>
        <w:lastRenderedPageBreak/>
        <w:t>COMUNÍQUESE Y CÚMPLASE</w:t>
      </w:r>
    </w:p>
    <w:p w:rsidR="009F0B88" w:rsidRDefault="009F0B88">
      <w:pPr>
        <w:spacing w:line="276" w:lineRule="auto"/>
        <w:jc w:val="center"/>
        <w:rPr>
          <w:rFonts w:ascii="Arial Narrow" w:eastAsia="Arial Narrow" w:hAnsi="Arial Narrow" w:cs="Arial Narrow"/>
          <w:sz w:val="22"/>
          <w:szCs w:val="22"/>
        </w:rPr>
      </w:pPr>
    </w:p>
    <w:p w:rsidR="009F0B88" w:rsidRDefault="00B90476">
      <w:pPr>
        <w:spacing w:line="276" w:lineRule="auto"/>
        <w:jc w:val="center"/>
        <w:rPr>
          <w:rFonts w:ascii="Arial Narrow" w:eastAsia="Arial Narrow" w:hAnsi="Arial Narrow" w:cs="Arial Narrow"/>
          <w:sz w:val="22"/>
          <w:szCs w:val="22"/>
        </w:rPr>
      </w:pPr>
      <w:r>
        <w:rPr>
          <w:rFonts w:ascii="Arial Narrow" w:eastAsia="Arial Narrow" w:hAnsi="Arial Narrow" w:cs="Arial Narrow"/>
          <w:sz w:val="22"/>
          <w:szCs w:val="22"/>
        </w:rPr>
        <w:t>Dado en Bogotá, D.C., a los ___ días del mes de ___ del año 2025</w:t>
      </w:r>
    </w:p>
    <w:p w:rsidR="009F0B88" w:rsidRDefault="009F0B88">
      <w:pPr>
        <w:tabs>
          <w:tab w:val="left" w:pos="5197"/>
        </w:tabs>
        <w:spacing w:after="160" w:line="276" w:lineRule="auto"/>
        <w:rPr>
          <w:rFonts w:ascii="Arial Narrow" w:eastAsia="Arial Narrow" w:hAnsi="Arial Narrow" w:cs="Arial Narrow"/>
          <w:sz w:val="22"/>
          <w:szCs w:val="22"/>
        </w:rPr>
      </w:pPr>
    </w:p>
    <w:p w:rsidR="009F0B88" w:rsidRDefault="00B90476">
      <w:pPr>
        <w:spacing w:after="10" w:line="268" w:lineRule="auto"/>
        <w:ind w:left="10" w:right="17"/>
        <w:jc w:val="center"/>
        <w:rPr>
          <w:rFonts w:ascii="Arial Narrow" w:eastAsia="Arial Narrow" w:hAnsi="Arial Narrow" w:cs="Arial Narrow"/>
          <w:sz w:val="22"/>
          <w:szCs w:val="22"/>
        </w:rPr>
      </w:pPr>
      <w:r>
        <w:rPr>
          <w:rFonts w:ascii="Arial Narrow" w:eastAsia="Arial Narrow" w:hAnsi="Arial Narrow" w:cs="Arial Narrow"/>
          <w:b/>
          <w:sz w:val="22"/>
          <w:szCs w:val="22"/>
        </w:rPr>
        <w:t xml:space="preserve">Presidente del Concejo                                                                 Secretaría General </w:t>
      </w:r>
    </w:p>
    <w:p w:rsidR="009F0B88" w:rsidRDefault="00B90476">
      <w:pPr>
        <w:spacing w:after="23" w:line="259" w:lineRule="auto"/>
        <w:rPr>
          <w:rFonts w:ascii="Arial Narrow" w:eastAsia="Arial Narrow" w:hAnsi="Arial Narrow" w:cs="Arial Narrow"/>
          <w:sz w:val="22"/>
          <w:szCs w:val="22"/>
        </w:rPr>
      </w:pPr>
      <w:r>
        <w:rPr>
          <w:rFonts w:ascii="Arial Narrow" w:eastAsia="Arial Narrow" w:hAnsi="Arial Narrow" w:cs="Arial Narrow"/>
          <w:b/>
          <w:sz w:val="22"/>
          <w:szCs w:val="22"/>
        </w:rPr>
        <w:t xml:space="preserve"> </w:t>
      </w:r>
    </w:p>
    <w:p w:rsidR="009F0B88" w:rsidRDefault="00B90476">
      <w:pPr>
        <w:spacing w:after="10" w:line="268" w:lineRule="auto"/>
        <w:ind w:left="10" w:right="5"/>
        <w:jc w:val="center"/>
        <w:rPr>
          <w:rFonts w:ascii="Arial Narrow" w:eastAsia="Arial Narrow" w:hAnsi="Arial Narrow" w:cs="Arial Narrow"/>
          <w:sz w:val="22"/>
          <w:szCs w:val="22"/>
        </w:rPr>
      </w:pPr>
      <w:r>
        <w:rPr>
          <w:rFonts w:ascii="Arial Narrow" w:eastAsia="Arial Narrow" w:hAnsi="Arial Narrow" w:cs="Arial Narrow"/>
          <w:b/>
          <w:sz w:val="22"/>
          <w:szCs w:val="22"/>
        </w:rPr>
        <w:t xml:space="preserve">Alcalde Mayor </w:t>
      </w:r>
    </w:p>
    <w:sectPr w:rsidR="009F0B88">
      <w:type w:val="continuous"/>
      <w:pgSz w:w="12242" w:h="15842"/>
      <w:pgMar w:top="1700" w:right="1417" w:bottom="1700" w:left="1417" w:header="567" w:footer="85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3537" w:rsidRDefault="00B90476">
      <w:r>
        <w:separator/>
      </w:r>
    </w:p>
  </w:endnote>
  <w:endnote w:type="continuationSeparator" w:id="0">
    <w:p w:rsidR="005C3537" w:rsidRDefault="00B9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auto"/>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0B88" w:rsidRDefault="00B90476">
    <w:pPr>
      <w:jc w:val="right"/>
    </w:pPr>
    <w:r>
      <w:fldChar w:fldCharType="begin"/>
    </w:r>
    <w:r>
      <w:instrText>PAGE</w:instrText>
    </w:r>
    <w:r>
      <w:fldChar w:fldCharType="end"/>
    </w:r>
  </w:p>
  <w:p w:rsidR="009F0B88" w:rsidRDefault="009F0B88">
    <w:pPr>
      <w:ind w:right="360"/>
    </w:pPr>
  </w:p>
  <w:p w:rsidR="009F0B88" w:rsidRDefault="009F0B88"/>
  <w:p w:rsidR="009F0B88" w:rsidRDefault="009F0B88"/>
  <w:p w:rsidR="009F0B88" w:rsidRDefault="009F0B88"/>
  <w:p w:rsidR="009F0B88" w:rsidRDefault="009F0B88"/>
  <w:p w:rsidR="009F0B88" w:rsidRDefault="009F0B88"/>
  <w:p w:rsidR="009F0B88" w:rsidRDefault="009F0B88"/>
  <w:p w:rsidR="009F0B88" w:rsidRDefault="009F0B88"/>
  <w:p w:rsidR="009F0B88" w:rsidRDefault="009F0B88"/>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0B88" w:rsidRDefault="009F0B88"/>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3537" w:rsidRDefault="00B90476">
      <w:r>
        <w:separator/>
      </w:r>
    </w:p>
  </w:footnote>
  <w:footnote w:type="continuationSeparator" w:id="0">
    <w:p w:rsidR="005C3537" w:rsidRDefault="00B90476">
      <w:r>
        <w:continuationSeparator/>
      </w:r>
    </w:p>
  </w:footnote>
  <w:footnote w:id="1">
    <w:p w:rsidR="009F0B88" w:rsidRDefault="00B90476">
      <w:pPr>
        <w:rPr>
          <w:sz w:val="20"/>
          <w:szCs w:val="20"/>
        </w:rPr>
      </w:pPr>
      <w:r>
        <w:rPr>
          <w:vertAlign w:val="superscript"/>
        </w:rPr>
        <w:footnoteRef/>
      </w:r>
      <w:r>
        <w:rPr>
          <w:rFonts w:ascii="Arial Narrow" w:eastAsia="Arial Narrow" w:hAnsi="Arial Narrow" w:cs="Arial Narrow"/>
        </w:rPr>
        <w:t xml:space="preserve"> “Por medio del cual se establecen medidas para fortalecer las acciones en salud pública en establecimientos de preparación y consumo de alimentos en el distrito capital”</w:t>
      </w:r>
      <w:r>
        <w:rPr>
          <w:sz w:val="20"/>
          <w:szCs w:val="20"/>
        </w:rPr>
        <w:t xml:space="preserve"> </w:t>
      </w:r>
    </w:p>
  </w:footnote>
  <w:footnote w:id="2">
    <w:p w:rsidR="009F0B88" w:rsidRDefault="00B90476">
      <w:pPr>
        <w:rPr>
          <w:rFonts w:ascii="Arial Narrow" w:eastAsia="Arial Narrow" w:hAnsi="Arial Narrow" w:cs="Arial Narrow"/>
          <w:b/>
          <w:sz w:val="16"/>
          <w:szCs w:val="16"/>
          <w:highlight w:val="white"/>
        </w:rPr>
      </w:pPr>
      <w:r>
        <w:rPr>
          <w:vertAlign w:val="superscript"/>
        </w:rPr>
        <w:footnoteRef/>
      </w:r>
      <w:r>
        <w:rPr>
          <w:sz w:val="20"/>
          <w:szCs w:val="20"/>
        </w:rPr>
        <w:t xml:space="preserve"> </w:t>
      </w:r>
      <w:r>
        <w:rPr>
          <w:rFonts w:ascii="Arial Narrow" w:eastAsia="Arial Narrow" w:hAnsi="Arial Narrow" w:cs="Arial Narrow"/>
          <w:b/>
          <w:sz w:val="16"/>
          <w:szCs w:val="16"/>
          <w:highlight w:val="white"/>
        </w:rPr>
        <w:t>Organización Mundial de la Salud (OMS</w:t>
      </w:r>
      <w:proofErr w:type="gramStart"/>
      <w:r>
        <w:rPr>
          <w:rFonts w:ascii="Arial Narrow" w:eastAsia="Arial Narrow" w:hAnsi="Arial Narrow" w:cs="Arial Narrow"/>
          <w:b/>
          <w:sz w:val="16"/>
          <w:szCs w:val="16"/>
          <w:highlight w:val="white"/>
        </w:rPr>
        <w:t>),Inocuidad</w:t>
      </w:r>
      <w:proofErr w:type="gramEnd"/>
      <w:r>
        <w:rPr>
          <w:rFonts w:ascii="Arial Narrow" w:eastAsia="Arial Narrow" w:hAnsi="Arial Narrow" w:cs="Arial Narrow"/>
          <w:b/>
          <w:sz w:val="16"/>
          <w:szCs w:val="16"/>
          <w:highlight w:val="white"/>
        </w:rPr>
        <w:t xml:space="preserve"> de los alimentos,4 de octubre de 2024.</w:t>
      </w:r>
    </w:p>
    <w:p w:rsidR="009F0B88" w:rsidRDefault="009F0B88">
      <w:pPr>
        <w:spacing w:before="240" w:after="240" w:line="259" w:lineRule="auto"/>
        <w:jc w:val="both"/>
        <w:rPr>
          <w:rFonts w:ascii="Arial Narrow" w:eastAsia="Arial Narrow" w:hAnsi="Arial Narrow" w:cs="Arial Narrow"/>
          <w:b/>
          <w:sz w:val="22"/>
          <w:szCs w:val="22"/>
          <w:highlight w:val="white"/>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0B88" w:rsidRDefault="009F0B88">
    <w:pPr>
      <w:widowControl w:val="0"/>
      <w:pBdr>
        <w:top w:val="nil"/>
        <w:left w:val="nil"/>
        <w:bottom w:val="nil"/>
        <w:right w:val="nil"/>
        <w:between w:val="nil"/>
      </w:pBdr>
      <w:spacing w:line="276" w:lineRule="auto"/>
      <w:rPr>
        <w:color w:val="000000"/>
        <w:sz w:val="20"/>
        <w:szCs w:val="20"/>
      </w:rPr>
    </w:pPr>
  </w:p>
  <w:tbl>
    <w:tblPr>
      <w:tblStyle w:val="af3"/>
      <w:tblW w:w="93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3"/>
      <w:gridCol w:w="4506"/>
      <w:gridCol w:w="2377"/>
    </w:tblGrid>
    <w:tr w:rsidR="009F0B88">
      <w:trPr>
        <w:trHeight w:val="454"/>
      </w:trPr>
      <w:tc>
        <w:tcPr>
          <w:tcW w:w="2513" w:type="dxa"/>
          <w:vMerge w:val="restart"/>
          <w:vAlign w:val="center"/>
        </w:tcPr>
        <w:p w:rsidR="009F0B88" w:rsidRDefault="00B90476">
          <w:pPr>
            <w:jc w:val="center"/>
            <w:rPr>
              <w:sz w:val="16"/>
              <w:szCs w:val="16"/>
            </w:rPr>
          </w:pPr>
          <w:r>
            <w:rPr>
              <w:noProof/>
              <w:lang w:val="es-419"/>
            </w:rPr>
            <w:drawing>
              <wp:anchor distT="0" distB="0" distL="0" distR="0" simplePos="0" relativeHeight="251658240" behindDoc="0" locked="0" layoutInCell="1" hidden="0" allowOverlap="1">
                <wp:simplePos x="0" y="0"/>
                <wp:positionH relativeFrom="column">
                  <wp:posOffset>333375</wp:posOffset>
                </wp:positionH>
                <wp:positionV relativeFrom="paragraph">
                  <wp:posOffset>0</wp:posOffset>
                </wp:positionV>
                <wp:extent cx="752475" cy="885825"/>
                <wp:effectExtent l="0" t="0" r="0" b="0"/>
                <wp:wrapSquare wrapText="bothSides" distT="0" distB="0" distL="0" distR="0"/>
                <wp:docPr id="3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tc>
      <w:tc>
        <w:tcPr>
          <w:tcW w:w="4506" w:type="dxa"/>
          <w:vAlign w:val="center"/>
        </w:tcPr>
        <w:p w:rsidR="009F0B88" w:rsidRDefault="00B90476">
          <w:pPr>
            <w:jc w:val="center"/>
            <w:rPr>
              <w:sz w:val="18"/>
              <w:szCs w:val="18"/>
            </w:rPr>
          </w:pPr>
          <w:r>
            <w:rPr>
              <w:sz w:val="18"/>
              <w:szCs w:val="18"/>
            </w:rPr>
            <w:t>PROCESO GESTIÓN NORMATIVA</w:t>
          </w:r>
        </w:p>
      </w:tc>
      <w:tc>
        <w:tcPr>
          <w:tcW w:w="2377" w:type="dxa"/>
          <w:vAlign w:val="center"/>
        </w:tcPr>
        <w:p w:rsidR="009F0B88" w:rsidRDefault="00B90476">
          <w:pPr>
            <w:rPr>
              <w:sz w:val="16"/>
              <w:szCs w:val="16"/>
            </w:rPr>
          </w:pPr>
          <w:r>
            <w:rPr>
              <w:sz w:val="16"/>
              <w:szCs w:val="16"/>
            </w:rPr>
            <w:t>CÓDIGO</w:t>
          </w:r>
          <w:r>
            <w:rPr>
              <w:color w:val="3366FF"/>
              <w:sz w:val="16"/>
              <w:szCs w:val="16"/>
            </w:rPr>
            <w:t xml:space="preserve">: </w:t>
          </w:r>
          <w:r>
            <w:rPr>
              <w:sz w:val="16"/>
              <w:szCs w:val="16"/>
            </w:rPr>
            <w:t>GNV-FO-002</w:t>
          </w:r>
        </w:p>
      </w:tc>
    </w:tr>
    <w:tr w:rsidR="009F0B88">
      <w:trPr>
        <w:trHeight w:val="454"/>
      </w:trPr>
      <w:tc>
        <w:tcPr>
          <w:tcW w:w="2513" w:type="dxa"/>
          <w:vMerge/>
          <w:vAlign w:val="center"/>
        </w:tcPr>
        <w:p w:rsidR="009F0B88" w:rsidRDefault="009F0B88">
          <w:pPr>
            <w:widowControl w:val="0"/>
            <w:pBdr>
              <w:top w:val="nil"/>
              <w:left w:val="nil"/>
              <w:bottom w:val="nil"/>
              <w:right w:val="nil"/>
              <w:between w:val="nil"/>
            </w:pBdr>
            <w:spacing w:line="276" w:lineRule="auto"/>
            <w:rPr>
              <w:sz w:val="16"/>
              <w:szCs w:val="16"/>
            </w:rPr>
          </w:pPr>
        </w:p>
      </w:tc>
      <w:tc>
        <w:tcPr>
          <w:tcW w:w="4506" w:type="dxa"/>
          <w:vMerge w:val="restart"/>
          <w:vAlign w:val="center"/>
        </w:tcPr>
        <w:p w:rsidR="009F0B88" w:rsidRDefault="00B90476">
          <w:pPr>
            <w:jc w:val="center"/>
            <w:rPr>
              <w:sz w:val="20"/>
              <w:szCs w:val="20"/>
            </w:rPr>
          </w:pPr>
          <w:r>
            <w:rPr>
              <w:sz w:val="20"/>
              <w:szCs w:val="20"/>
            </w:rPr>
            <w:t>PRESENTACIÓN PONENCIAS</w:t>
          </w:r>
        </w:p>
      </w:tc>
      <w:tc>
        <w:tcPr>
          <w:tcW w:w="2377" w:type="dxa"/>
          <w:vAlign w:val="center"/>
        </w:tcPr>
        <w:p w:rsidR="009F0B88" w:rsidRDefault="00B90476">
          <w:pPr>
            <w:rPr>
              <w:sz w:val="16"/>
              <w:szCs w:val="16"/>
            </w:rPr>
          </w:pPr>
          <w:r>
            <w:rPr>
              <w:sz w:val="16"/>
              <w:szCs w:val="16"/>
            </w:rPr>
            <w:t>VERSIÓN:    01</w:t>
          </w:r>
        </w:p>
      </w:tc>
    </w:tr>
    <w:tr w:rsidR="009F0B88">
      <w:trPr>
        <w:trHeight w:val="454"/>
      </w:trPr>
      <w:tc>
        <w:tcPr>
          <w:tcW w:w="2513" w:type="dxa"/>
          <w:vMerge/>
          <w:vAlign w:val="center"/>
        </w:tcPr>
        <w:p w:rsidR="009F0B88" w:rsidRDefault="009F0B88">
          <w:pPr>
            <w:widowControl w:val="0"/>
            <w:pBdr>
              <w:top w:val="nil"/>
              <w:left w:val="nil"/>
              <w:bottom w:val="nil"/>
              <w:right w:val="nil"/>
              <w:between w:val="nil"/>
            </w:pBdr>
            <w:spacing w:line="276" w:lineRule="auto"/>
            <w:rPr>
              <w:sz w:val="16"/>
              <w:szCs w:val="16"/>
            </w:rPr>
          </w:pPr>
        </w:p>
      </w:tc>
      <w:tc>
        <w:tcPr>
          <w:tcW w:w="4506" w:type="dxa"/>
          <w:vMerge/>
          <w:vAlign w:val="center"/>
        </w:tcPr>
        <w:p w:rsidR="009F0B88" w:rsidRDefault="009F0B88">
          <w:pPr>
            <w:widowControl w:val="0"/>
            <w:pBdr>
              <w:top w:val="nil"/>
              <w:left w:val="nil"/>
              <w:bottom w:val="nil"/>
              <w:right w:val="nil"/>
              <w:between w:val="nil"/>
            </w:pBdr>
            <w:spacing w:line="276" w:lineRule="auto"/>
            <w:rPr>
              <w:sz w:val="16"/>
              <w:szCs w:val="16"/>
            </w:rPr>
          </w:pPr>
        </w:p>
      </w:tc>
      <w:tc>
        <w:tcPr>
          <w:tcW w:w="2377" w:type="dxa"/>
          <w:vAlign w:val="center"/>
        </w:tcPr>
        <w:p w:rsidR="009F0B88" w:rsidRDefault="00B90476">
          <w:pPr>
            <w:rPr>
              <w:sz w:val="16"/>
              <w:szCs w:val="16"/>
            </w:rPr>
          </w:pPr>
          <w:r>
            <w:rPr>
              <w:sz w:val="16"/>
              <w:szCs w:val="16"/>
            </w:rPr>
            <w:t>FECHA: 14-Nov-2019</w:t>
          </w:r>
        </w:p>
      </w:tc>
    </w:tr>
  </w:tbl>
  <w:p w:rsidR="009F0B88" w:rsidRDefault="009F0B88"/>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F71E2"/>
    <w:multiLevelType w:val="multilevel"/>
    <w:tmpl w:val="6458F9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0C323D1"/>
    <w:multiLevelType w:val="multilevel"/>
    <w:tmpl w:val="9EA6E9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0F51E13"/>
    <w:multiLevelType w:val="multilevel"/>
    <w:tmpl w:val="D3D087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9491DFF"/>
    <w:multiLevelType w:val="multilevel"/>
    <w:tmpl w:val="F942EDE8"/>
    <w:lvl w:ilvl="0">
      <w:start w:val="1"/>
      <w:numFmt w:val="bullet"/>
      <w:lvlText w:val="●"/>
      <w:lvlJc w:val="left"/>
      <w:pPr>
        <w:ind w:left="720" w:hanging="360"/>
      </w:pPr>
      <w:rPr>
        <w:u w:val="none"/>
      </w:rPr>
    </w:lvl>
    <w:lvl w:ilvl="1">
      <w:start w:val="1"/>
      <w:numFmt w:val="bullet"/>
      <w:pStyle w:val="SUBTITULO1-JENNY"/>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A2E0B36"/>
    <w:multiLevelType w:val="multilevel"/>
    <w:tmpl w:val="79B476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2485A49"/>
    <w:multiLevelType w:val="multilevel"/>
    <w:tmpl w:val="D26632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96818E8"/>
    <w:multiLevelType w:val="multilevel"/>
    <w:tmpl w:val="72FA3E16"/>
    <w:lvl w:ilvl="0">
      <w:start w:val="1"/>
      <w:numFmt w:val="decimal"/>
      <w:lvlText w:val="%1."/>
      <w:lvlJc w:val="left"/>
      <w:pPr>
        <w:ind w:left="720" w:hanging="360"/>
      </w:pPr>
    </w:lvl>
    <w:lvl w:ilvl="1">
      <w:start w:val="1"/>
      <w:numFmt w:val="decimal"/>
      <w:lvlText w:val="%1.%2."/>
      <w:lvlJc w:val="left"/>
      <w:pPr>
        <w:ind w:left="4510" w:hanging="540"/>
      </w:pPr>
    </w:lvl>
    <w:lvl w:ilvl="2">
      <w:start w:val="1"/>
      <w:numFmt w:val="decimal"/>
      <w:lvlText w:val="%1.%2.%3."/>
      <w:lvlJc w:val="left"/>
      <w:pPr>
        <w:ind w:left="143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6C92737B"/>
    <w:multiLevelType w:val="multilevel"/>
    <w:tmpl w:val="2328F8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4"/>
  </w:num>
  <w:num w:numId="3">
    <w:abstractNumId w:val="1"/>
  </w:num>
  <w:num w:numId="4">
    <w:abstractNumId w:val="7"/>
  </w:num>
  <w:num w:numId="5">
    <w:abstractNumId w:val="5"/>
  </w:num>
  <w:num w:numId="6">
    <w:abstractNumId w:val="6"/>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B88"/>
    <w:rsid w:val="005C3537"/>
    <w:rsid w:val="009B2996"/>
    <w:rsid w:val="009F0B88"/>
    <w:rsid w:val="00B90476"/>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A9BE9"/>
  <w15:docId w15:val="{398ECA38-8F69-40C9-AB93-CF4840DC8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CO" w:eastAsia="es-419"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6737F"/>
  </w:style>
  <w:style w:type="paragraph" w:styleId="Ttulo1">
    <w:name w:val="heading 1"/>
    <w:basedOn w:val="Normal"/>
    <w:next w:val="Normal"/>
    <w:link w:val="Ttulo1Car"/>
    <w:uiPriority w:val="9"/>
    <w:qFormat/>
    <w:rsid w:val="0006737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06737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rsid w:val="0006737F"/>
    <w:tblPr>
      <w:tblCellMar>
        <w:top w:w="0" w:type="dxa"/>
        <w:left w:w="0" w:type="dxa"/>
        <w:bottom w:w="0" w:type="dxa"/>
        <w:right w:w="0" w:type="dxa"/>
      </w:tblCellMar>
    </w:tblPr>
  </w:style>
  <w:style w:type="paragraph" w:styleId="Prrafodelista">
    <w:name w:val="List Paragraph"/>
    <w:aliases w:val="List1,LISTA,Párrafo de lista1,Ha,Resume Title,Bullet List,FooterText,numbered,List Paragraph1,Paragraphe de liste1,lp1,HOJA,Colorful List Accent 1,Colorful List - Accent 11,titulo 3,Colorful List - Accent 111,Bullets"/>
    <w:basedOn w:val="Normal"/>
    <w:link w:val="PrrafodelistaCar"/>
    <w:uiPriority w:val="34"/>
    <w:qFormat/>
    <w:rsid w:val="0006737F"/>
    <w:pPr>
      <w:ind w:left="708"/>
    </w:pPr>
    <w:rPr>
      <w:rFonts w:eastAsia="Times New Roman" w:cs="Times New Roman"/>
      <w:szCs w:val="20"/>
      <w:lang w:val="es-ES" w:eastAsia="es-ES"/>
    </w:rPr>
  </w:style>
  <w:style w:type="paragraph" w:styleId="Textonotapie">
    <w:name w:val="footnote text"/>
    <w:aliases w:val="Footnote Text Char Char Char Char Char,Footnote Text Char Char Char Char,Footnote reference,FA Fu,Footnote Text Char Char Char,texto de nota al pie,ft Car,Texto nota pie_mujer Car,Car,ft,Texto nota pie2,ft1,ft Car Car Car1,ft Car Car2"/>
    <w:basedOn w:val="Normal"/>
    <w:link w:val="TextonotapieCar"/>
    <w:uiPriority w:val="99"/>
    <w:unhideWhenUsed/>
    <w:qFormat/>
    <w:rsid w:val="0006737F"/>
    <w:rPr>
      <w:sz w:val="20"/>
      <w:szCs w:val="20"/>
    </w:rPr>
  </w:style>
  <w:style w:type="character" w:customStyle="1" w:styleId="TextonotapieCar">
    <w:name w:val="Texto nota pie Car"/>
    <w:aliases w:val="Footnote Text Char Char Char Char Char Car,Footnote Text Char Char Char Char Car,Footnote reference Car,FA Fu Car,Footnote Text Char Char Char Car,texto de nota al pie Car,ft Car Car,Texto nota pie_mujer Car Car,Car Car,ft Car1"/>
    <w:basedOn w:val="Fuentedeprrafopredeter"/>
    <w:link w:val="Textonotapie"/>
    <w:uiPriority w:val="99"/>
    <w:qFormat/>
    <w:rsid w:val="0006737F"/>
    <w:rPr>
      <w:rFonts w:ascii="Arial" w:eastAsia="Arial" w:hAnsi="Arial" w:cs="Arial"/>
      <w:sz w:val="20"/>
      <w:szCs w:val="20"/>
      <w:lang w:eastAsia="es-CO"/>
    </w:rPr>
  </w:style>
  <w:style w:type="character" w:styleId="Refdenotaalpie">
    <w:name w:val="footnote reference"/>
    <w:aliases w:val="referencia nota al pie,Ref,de nota al pie,Ref. de nota al pie2,Nota de pie,Texto de nota al pie,normal,Ref. de nota al pie1,Car Car Car1,Car Car2,ftr"/>
    <w:basedOn w:val="Fuentedeprrafopredeter"/>
    <w:uiPriority w:val="99"/>
    <w:unhideWhenUsed/>
    <w:qFormat/>
    <w:rsid w:val="0006737F"/>
    <w:rPr>
      <w:vertAlign w:val="superscript"/>
    </w:rPr>
  </w:style>
  <w:style w:type="character" w:customStyle="1" w:styleId="PrrafodelistaCar">
    <w:name w:val="Párrafo de lista Car"/>
    <w:aliases w:val="List1 Car,LISTA Car,Párrafo de lista1 Car,Ha Car,Resume Title Car,Bullet List Car,FooterText Car,numbered Car,List Paragraph1 Car,Paragraphe de liste1 Car,lp1 Car,HOJA Car,Colorful List Accent 1 Car,Colorful List - Accent 11 Car"/>
    <w:link w:val="Prrafodelista"/>
    <w:uiPriority w:val="34"/>
    <w:qFormat/>
    <w:locked/>
    <w:rsid w:val="0006737F"/>
    <w:rPr>
      <w:rFonts w:ascii="Arial" w:eastAsia="Times New Roman" w:hAnsi="Arial" w:cs="Times New Roman"/>
      <w:sz w:val="24"/>
      <w:szCs w:val="20"/>
      <w:lang w:val="es-ES" w:eastAsia="es-ES"/>
    </w:rPr>
  </w:style>
  <w:style w:type="character" w:styleId="Hipervnculo">
    <w:name w:val="Hyperlink"/>
    <w:basedOn w:val="Fuentedeprrafopredeter"/>
    <w:uiPriority w:val="99"/>
    <w:unhideWhenUsed/>
    <w:rsid w:val="0006737F"/>
    <w:rPr>
      <w:color w:val="0000FF"/>
      <w:u w:val="single"/>
    </w:rPr>
  </w:style>
  <w:style w:type="paragraph" w:customStyle="1" w:styleId="TITULO1JENNY">
    <w:name w:val="TITULO1_JENNY"/>
    <w:basedOn w:val="Ttulo1"/>
    <w:link w:val="TITULO1JENNYCar"/>
    <w:qFormat/>
    <w:rsid w:val="0006737F"/>
    <w:pPr>
      <w:spacing w:before="0"/>
      <w:jc w:val="both"/>
    </w:pPr>
    <w:rPr>
      <w:rFonts w:ascii="Times New Roman" w:eastAsia="Arial" w:hAnsi="Times New Roman" w:cs="Arial"/>
      <w:b/>
      <w:color w:val="auto"/>
      <w:sz w:val="24"/>
      <w:szCs w:val="48"/>
    </w:rPr>
  </w:style>
  <w:style w:type="paragraph" w:customStyle="1" w:styleId="SUBTITULO1-JENNY">
    <w:name w:val="SUBTITULO1-JENNY"/>
    <w:basedOn w:val="Ttulo2"/>
    <w:link w:val="SUBTITULO1-JENNYCar"/>
    <w:qFormat/>
    <w:rsid w:val="0006737F"/>
    <w:pPr>
      <w:numPr>
        <w:ilvl w:val="1"/>
        <w:numId w:val="1"/>
      </w:numPr>
      <w:tabs>
        <w:tab w:val="left" w:pos="567"/>
      </w:tabs>
      <w:spacing w:before="0" w:line="360" w:lineRule="auto"/>
      <w:jc w:val="both"/>
    </w:pPr>
    <w:rPr>
      <w:rFonts w:ascii="Times New Roman" w:eastAsia="Calibri" w:hAnsi="Times New Roman" w:cs="Times New Roman"/>
      <w:b/>
      <w:color w:val="auto"/>
      <w:sz w:val="24"/>
      <w:szCs w:val="36"/>
      <w:lang w:val="es-ES" w:eastAsia="es-ES"/>
    </w:rPr>
  </w:style>
  <w:style w:type="character" w:customStyle="1" w:styleId="TITULO1JENNYCar">
    <w:name w:val="TITULO1_JENNY Car"/>
    <w:basedOn w:val="Fuentedeprrafopredeter"/>
    <w:link w:val="TITULO1JENNY"/>
    <w:rsid w:val="0006737F"/>
    <w:rPr>
      <w:rFonts w:ascii="Times New Roman" w:eastAsia="Arial" w:hAnsi="Times New Roman" w:cs="Arial"/>
      <w:b/>
      <w:sz w:val="24"/>
      <w:szCs w:val="48"/>
      <w:lang w:eastAsia="es-CO"/>
    </w:rPr>
  </w:style>
  <w:style w:type="paragraph" w:styleId="Sinespaciado">
    <w:name w:val="No Spacing"/>
    <w:uiPriority w:val="1"/>
    <w:qFormat/>
    <w:rsid w:val="0006737F"/>
  </w:style>
  <w:style w:type="character" w:customStyle="1" w:styleId="SUBTITULO1-JENNYCar">
    <w:name w:val="SUBTITULO1-JENNY Car"/>
    <w:basedOn w:val="PrrafodelistaCar"/>
    <w:link w:val="SUBTITULO1-JENNY"/>
    <w:rsid w:val="0006737F"/>
    <w:rPr>
      <w:rFonts w:ascii="Times New Roman" w:eastAsia="Calibri" w:hAnsi="Times New Roman" w:cs="Times New Roman"/>
      <w:b/>
      <w:sz w:val="24"/>
      <w:szCs w:val="36"/>
      <w:lang w:val="es-ES" w:eastAsia="es-ES"/>
    </w:rPr>
  </w:style>
  <w:style w:type="character" w:styleId="Textoennegrita">
    <w:name w:val="Strong"/>
    <w:uiPriority w:val="22"/>
    <w:qFormat/>
    <w:rsid w:val="0006737F"/>
    <w:rPr>
      <w:b/>
      <w:bCs/>
    </w:rPr>
  </w:style>
  <w:style w:type="character" w:styleId="nfasis">
    <w:name w:val="Emphasis"/>
    <w:basedOn w:val="Fuentedeprrafopredeter"/>
    <w:uiPriority w:val="20"/>
    <w:qFormat/>
    <w:rsid w:val="0006737F"/>
    <w:rPr>
      <w:i/>
      <w:iCs/>
    </w:rPr>
  </w:style>
  <w:style w:type="character" w:customStyle="1" w:styleId="Ttulo1Car">
    <w:name w:val="Título 1 Car"/>
    <w:basedOn w:val="Fuentedeprrafopredeter"/>
    <w:link w:val="Ttulo1"/>
    <w:uiPriority w:val="9"/>
    <w:rsid w:val="0006737F"/>
    <w:rPr>
      <w:rFonts w:asciiTheme="majorHAnsi" w:eastAsiaTheme="majorEastAsia" w:hAnsiTheme="majorHAnsi" w:cstheme="majorBidi"/>
      <w:color w:val="2E74B5" w:themeColor="accent1" w:themeShade="BF"/>
      <w:sz w:val="32"/>
      <w:szCs w:val="32"/>
      <w:lang w:eastAsia="es-CO"/>
    </w:rPr>
  </w:style>
  <w:style w:type="character" w:customStyle="1" w:styleId="Ttulo2Car">
    <w:name w:val="Título 2 Car"/>
    <w:basedOn w:val="Fuentedeprrafopredeter"/>
    <w:link w:val="Ttulo2"/>
    <w:uiPriority w:val="9"/>
    <w:semiHidden/>
    <w:rsid w:val="0006737F"/>
    <w:rPr>
      <w:rFonts w:asciiTheme="majorHAnsi" w:eastAsiaTheme="majorEastAsia" w:hAnsiTheme="majorHAnsi" w:cstheme="majorBidi"/>
      <w:color w:val="2E74B5" w:themeColor="accent1" w:themeShade="BF"/>
      <w:sz w:val="26"/>
      <w:szCs w:val="26"/>
      <w:lang w:eastAsia="es-CO"/>
    </w:rPr>
  </w:style>
  <w:style w:type="table" w:styleId="Tablaconcuadrcula">
    <w:name w:val="Table Grid"/>
    <w:basedOn w:val="Tablanormal"/>
    <w:uiPriority w:val="39"/>
    <w:rsid w:val="00D978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7"/>
    <w:tblPr>
      <w:tblStyleRowBandSize w:val="1"/>
      <w:tblStyleColBandSize w:val="1"/>
      <w:tblCellMar>
        <w:top w:w="100" w:type="dxa"/>
        <w:left w:w="100" w:type="dxa"/>
        <w:bottom w:w="100" w:type="dxa"/>
        <w:right w:w="100" w:type="dxa"/>
      </w:tblCellMar>
    </w:tblPr>
  </w:style>
  <w:style w:type="table" w:customStyle="1" w:styleId="a0">
    <w:basedOn w:val="TableNormal7"/>
    <w:tblPr>
      <w:tblStyleRowBandSize w:val="1"/>
      <w:tblStyleColBandSize w:val="1"/>
      <w:tblCellMar>
        <w:left w:w="115" w:type="dxa"/>
        <w:right w:w="115" w:type="dxa"/>
      </w:tblCellMar>
    </w:tblPr>
  </w:style>
  <w:style w:type="table" w:customStyle="1" w:styleId="a1">
    <w:basedOn w:val="TableNormal6"/>
    <w:tblPr>
      <w:tblStyleRowBandSize w:val="1"/>
      <w:tblStyleColBandSize w:val="1"/>
      <w:tblCellMar>
        <w:top w:w="100" w:type="dxa"/>
        <w:left w:w="115" w:type="dxa"/>
        <w:bottom w:w="100" w:type="dxa"/>
        <w:right w:w="115" w:type="dxa"/>
      </w:tblCellMar>
    </w:tblPr>
  </w:style>
  <w:style w:type="table" w:customStyle="1" w:styleId="a2">
    <w:basedOn w:val="TableNormal6"/>
    <w:tblPr>
      <w:tblStyleRowBandSize w:val="1"/>
      <w:tblStyleColBandSize w:val="1"/>
      <w:tblCellMar>
        <w:top w:w="100" w:type="dxa"/>
        <w:left w:w="115" w:type="dxa"/>
        <w:bottom w:w="100" w:type="dxa"/>
        <w:right w:w="115" w:type="dxa"/>
      </w:tblCellMar>
    </w:tblPr>
  </w:style>
  <w:style w:type="table" w:customStyle="1" w:styleId="a3">
    <w:basedOn w:val="TableNormal6"/>
    <w:tblPr>
      <w:tblStyleRowBandSize w:val="1"/>
      <w:tblStyleColBandSize w:val="1"/>
      <w:tblCellMar>
        <w:top w:w="100" w:type="dxa"/>
        <w:left w:w="115" w:type="dxa"/>
        <w:bottom w:w="100" w:type="dxa"/>
        <w:right w:w="115" w:type="dxa"/>
      </w:tblCellMar>
    </w:tblPr>
  </w:style>
  <w:style w:type="table" w:customStyle="1" w:styleId="a4">
    <w:basedOn w:val="TableNormal6"/>
    <w:tblPr>
      <w:tblStyleRowBandSize w:val="1"/>
      <w:tblStyleColBandSize w:val="1"/>
      <w:tblCellMar>
        <w:top w:w="100" w:type="dxa"/>
        <w:left w:w="115" w:type="dxa"/>
        <w:bottom w:w="100" w:type="dxa"/>
        <w:right w:w="115" w:type="dxa"/>
      </w:tblCellMar>
    </w:tblPr>
  </w:style>
  <w:style w:type="table" w:customStyle="1" w:styleId="a5">
    <w:basedOn w:val="TableNormal6"/>
    <w:tblPr>
      <w:tblStyleRowBandSize w:val="1"/>
      <w:tblStyleColBandSize w:val="1"/>
      <w:tblCellMar>
        <w:top w:w="100" w:type="dxa"/>
        <w:left w:w="100" w:type="dxa"/>
        <w:bottom w:w="100" w:type="dxa"/>
        <w:right w:w="100" w:type="dxa"/>
      </w:tblCellMar>
    </w:tblPr>
    <w:tcPr>
      <w:shd w:val="clear" w:color="auto" w:fill="E6E6E6"/>
    </w:tcPr>
  </w:style>
  <w:style w:type="table" w:customStyle="1" w:styleId="a6">
    <w:basedOn w:val="TableNormal6"/>
    <w:tblPr>
      <w:tblStyleRowBandSize w:val="1"/>
      <w:tblStyleColBandSize w:val="1"/>
      <w:tblCellMar>
        <w:top w:w="100" w:type="dxa"/>
        <w:left w:w="115" w:type="dxa"/>
        <w:bottom w:w="100" w:type="dxa"/>
        <w:right w:w="115" w:type="dxa"/>
      </w:tblCellMar>
    </w:tblPr>
  </w:style>
  <w:style w:type="table" w:customStyle="1" w:styleId="a7">
    <w:basedOn w:val="TableNormal6"/>
    <w:tblPr>
      <w:tblStyleRowBandSize w:val="1"/>
      <w:tblStyleColBandSize w:val="1"/>
      <w:tblCellMar>
        <w:top w:w="100" w:type="dxa"/>
        <w:left w:w="115" w:type="dxa"/>
        <w:bottom w:w="100" w:type="dxa"/>
        <w:right w:w="115" w:type="dxa"/>
      </w:tblCellMar>
    </w:tblPr>
  </w:style>
  <w:style w:type="table" w:customStyle="1" w:styleId="a8">
    <w:basedOn w:val="TableNormal6"/>
    <w:tblPr>
      <w:tblStyleRowBandSize w:val="1"/>
      <w:tblStyleColBandSize w:val="1"/>
      <w:tblCellMar>
        <w:top w:w="100" w:type="dxa"/>
        <w:left w:w="115" w:type="dxa"/>
        <w:bottom w:w="100" w:type="dxa"/>
        <w:right w:w="115" w:type="dxa"/>
      </w:tblCellMar>
    </w:tblPr>
    <w:tcPr>
      <w:shd w:val="clear" w:color="auto" w:fill="E6E6E6"/>
    </w:tcPr>
  </w:style>
  <w:style w:type="table" w:customStyle="1" w:styleId="a9">
    <w:basedOn w:val="TableNormal6"/>
    <w:tblPr>
      <w:tblStyleRowBandSize w:val="1"/>
      <w:tblStyleColBandSize w:val="1"/>
      <w:tblCellMar>
        <w:top w:w="100" w:type="dxa"/>
        <w:left w:w="115" w:type="dxa"/>
        <w:bottom w:w="100" w:type="dxa"/>
        <w:right w:w="115" w:type="dxa"/>
      </w:tblCellMar>
    </w:tblPr>
    <w:tcPr>
      <w:shd w:val="clear" w:color="auto" w:fill="E6E6E6"/>
    </w:tcPr>
  </w:style>
  <w:style w:type="table" w:customStyle="1" w:styleId="aa">
    <w:basedOn w:val="TableNormal6"/>
    <w:tblPr>
      <w:tblStyleRowBandSize w:val="1"/>
      <w:tblStyleColBandSize w:val="1"/>
      <w:tblCellMar>
        <w:top w:w="100" w:type="dxa"/>
        <w:left w:w="115" w:type="dxa"/>
        <w:bottom w:w="100" w:type="dxa"/>
        <w:right w:w="115" w:type="dxa"/>
      </w:tblCellMar>
    </w:tblPr>
    <w:tcPr>
      <w:shd w:val="clear" w:color="auto" w:fill="E6E6E6"/>
    </w:tcPr>
  </w:style>
  <w:style w:type="table" w:customStyle="1" w:styleId="ab">
    <w:basedOn w:val="TableNormal6"/>
    <w:tblPr>
      <w:tblStyleRowBandSize w:val="1"/>
      <w:tblStyleColBandSize w:val="1"/>
      <w:tblCellMar>
        <w:left w:w="115" w:type="dxa"/>
        <w:right w:w="115" w:type="dxa"/>
      </w:tblCellMar>
    </w:tblPr>
    <w:tcPr>
      <w:shd w:val="clear" w:color="auto" w:fill="E6E6E6"/>
    </w:tcPr>
  </w:style>
  <w:style w:type="table" w:customStyle="1" w:styleId="ac">
    <w:basedOn w:val="TableNormal6"/>
    <w:tblPr>
      <w:tblStyleRowBandSize w:val="1"/>
      <w:tblStyleColBandSize w:val="1"/>
      <w:tblCellMar>
        <w:left w:w="115" w:type="dxa"/>
        <w:right w:w="115" w:type="dxa"/>
      </w:tblCellMar>
    </w:tblPr>
    <w:tcPr>
      <w:shd w:val="clear" w:color="auto" w:fill="E6E6E6"/>
    </w:tcPr>
  </w:style>
  <w:style w:type="table" w:customStyle="1" w:styleId="ad">
    <w:basedOn w:val="TableNormal6"/>
    <w:tblPr>
      <w:tblStyleRowBandSize w:val="1"/>
      <w:tblStyleColBandSize w:val="1"/>
      <w:tblCellMar>
        <w:left w:w="115" w:type="dxa"/>
        <w:right w:w="115" w:type="dxa"/>
      </w:tblCellMar>
    </w:tblPr>
    <w:tcPr>
      <w:shd w:val="clear" w:color="auto" w:fill="E6E6E6"/>
    </w:tcPr>
  </w:style>
  <w:style w:type="table" w:customStyle="1" w:styleId="ae">
    <w:basedOn w:val="TableNormal6"/>
    <w:tblPr>
      <w:tblStyleRowBandSize w:val="1"/>
      <w:tblStyleColBandSize w:val="1"/>
      <w:tblCellMar>
        <w:left w:w="115" w:type="dxa"/>
        <w:right w:w="115" w:type="dxa"/>
      </w:tblCellMar>
    </w:tblPr>
    <w:tcPr>
      <w:shd w:val="clear" w:color="auto" w:fill="E6E6E6"/>
    </w:tcPr>
  </w:style>
  <w:style w:type="table" w:customStyle="1" w:styleId="af">
    <w:basedOn w:val="TableNormal6"/>
    <w:tblPr>
      <w:tblStyleRowBandSize w:val="1"/>
      <w:tblStyleColBandSize w:val="1"/>
      <w:tblCellMar>
        <w:left w:w="115" w:type="dxa"/>
        <w:right w:w="115" w:type="dxa"/>
      </w:tblCellMar>
    </w:tblPr>
    <w:tcPr>
      <w:shd w:val="clear" w:color="auto" w:fill="E6E6E6"/>
    </w:tcPr>
  </w:style>
  <w:style w:type="table" w:customStyle="1" w:styleId="af0">
    <w:basedOn w:val="TableNormal6"/>
    <w:tblPr>
      <w:tblStyleRowBandSize w:val="1"/>
      <w:tblStyleColBandSize w:val="1"/>
      <w:tblCellMar>
        <w:left w:w="115" w:type="dxa"/>
        <w:right w:w="115" w:type="dxa"/>
      </w:tblCellMar>
    </w:tblPr>
    <w:tcPr>
      <w:shd w:val="clear" w:color="auto" w:fill="E6E6E6"/>
    </w:tcPr>
  </w:style>
  <w:style w:type="table" w:customStyle="1" w:styleId="af1">
    <w:basedOn w:val="TableNormal6"/>
    <w:tblPr>
      <w:tblStyleRowBandSize w:val="1"/>
      <w:tblStyleColBandSize w:val="1"/>
      <w:tblCellMar>
        <w:left w:w="115" w:type="dxa"/>
        <w:right w:w="115" w:type="dxa"/>
      </w:tblCellMar>
    </w:tblPr>
    <w:tcPr>
      <w:shd w:val="clear" w:color="auto" w:fill="E6E6E6"/>
    </w:tcPr>
  </w:style>
  <w:style w:type="table" w:customStyle="1" w:styleId="af2">
    <w:basedOn w:val="TableNormal6"/>
    <w:tblPr>
      <w:tblStyleRowBandSize w:val="1"/>
      <w:tblStyleColBandSize w:val="1"/>
      <w:tblCellMar>
        <w:left w:w="115" w:type="dxa"/>
        <w:right w:w="115" w:type="dxa"/>
      </w:tblCellMar>
    </w:tblPr>
    <w:tcPr>
      <w:shd w:val="clear" w:color="auto" w:fill="E6E6E6"/>
    </w:tcPr>
  </w:style>
  <w:style w:type="table" w:customStyle="1" w:styleId="af3">
    <w:basedOn w:val="TableNormal6"/>
    <w:tblPr>
      <w:tblStyleRowBandSize w:val="1"/>
      <w:tblStyleColBandSize w:val="1"/>
      <w:tblCellMar>
        <w:left w:w="115" w:type="dxa"/>
        <w:right w:w="115" w:type="dxa"/>
      </w:tblCellMar>
    </w:tblPr>
    <w:tcPr>
      <w:shd w:val="clear" w:color="auto" w:fill="E6E6E6"/>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1HGHwPv0QicTM2r7Oe1FSvVw4Cg==">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18</Pages>
  <Words>5522</Words>
  <Characters>30377</Characters>
  <Application>Microsoft Office Word</Application>
  <DocSecurity>0</DocSecurity>
  <Lines>253</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H.CONCEJAL FABIAN ANDRES PUENTES SIERRA</dc:creator>
  <cp:lastModifiedBy>ANA YOLANDA DURAN RODRIGUEZ</cp:lastModifiedBy>
  <cp:revision>3</cp:revision>
  <dcterms:created xsi:type="dcterms:W3CDTF">2025-04-09T14:44:00Z</dcterms:created>
  <dcterms:modified xsi:type="dcterms:W3CDTF">2025-04-09T19:07:00Z</dcterms:modified>
</cp:coreProperties>
</file>